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4AD" w:rsidRDefault="00CE34AD"/>
    <w:p w:rsidR="00CE34AD" w:rsidRDefault="00B275C5">
      <w:pPr>
        <w:ind w:left="4253"/>
        <w:jc w:val="both"/>
        <w:rPr>
          <w:rFonts w:ascii="Arial" w:eastAsia="Arial" w:hAnsi="Arial" w:cs="Arial"/>
        </w:rPr>
      </w:pPr>
      <w:r>
        <w:rPr>
          <w:rFonts w:ascii="Arial" w:eastAsia="Arial" w:hAnsi="Arial" w:cs="Arial"/>
          <w:b/>
        </w:rPr>
        <w:t xml:space="preserve">COMISIÓN PERMANENTE DE PUNTOS CONSTITUCIONALES Y GOBERNACIÓN. </w:t>
      </w:r>
      <w:r>
        <w:rPr>
          <w:rFonts w:ascii="Arial" w:eastAsia="Arial" w:hAnsi="Arial" w:cs="Arial"/>
        </w:rPr>
        <w:t xml:space="preserve">DIPUTADAS Y DIPUTADOS: CARMEN GUADALUPE GONZÁLEZ MARTÍN, ALEJANDRA DE LOS ÁNGELES NOVELO SEGURA, GASPAR ARMANDO QUINTAL PARRA, JESÚS EFRÉN PÉREZ BALLOTE, VÍCTOR HUGO LOZANO POVEDA, DAFNE CELINA LÓPEZ OSORIO, KARLA VANESSA SALAZAR GONZÁLEZ, JOSÉ CRESCENCIO </w:t>
      </w:r>
      <w:r>
        <w:rPr>
          <w:rFonts w:ascii="Arial" w:eastAsia="Arial" w:hAnsi="Arial" w:cs="Arial"/>
        </w:rPr>
        <w:t xml:space="preserve">GUTIÉRREZ GONZÁLEZ, VIDA ARAVARI GÓMEZ HERRERA.  - - - -  </w:t>
      </w:r>
    </w:p>
    <w:p w:rsidR="00CE34AD" w:rsidRDefault="00CE34AD">
      <w:pPr>
        <w:ind w:left="3969" w:right="51"/>
        <w:jc w:val="both"/>
        <w:rPr>
          <w:rFonts w:ascii="Arial" w:eastAsia="Arial" w:hAnsi="Arial" w:cs="Arial"/>
        </w:rPr>
      </w:pPr>
    </w:p>
    <w:p w:rsidR="00CE34AD" w:rsidRDefault="00CE34AD">
      <w:pPr>
        <w:ind w:left="3969" w:right="51"/>
        <w:jc w:val="both"/>
        <w:rPr>
          <w:rFonts w:ascii="Arial" w:eastAsia="Arial" w:hAnsi="Arial" w:cs="Arial"/>
        </w:rPr>
      </w:pPr>
    </w:p>
    <w:p w:rsidR="00CE34AD" w:rsidRDefault="00B275C5">
      <w:pPr>
        <w:spacing w:line="360" w:lineRule="auto"/>
        <w:ind w:right="62"/>
        <w:jc w:val="both"/>
        <w:rPr>
          <w:rFonts w:ascii="Arial" w:eastAsia="Arial" w:hAnsi="Arial" w:cs="Arial"/>
          <w:b/>
        </w:rPr>
      </w:pPr>
      <w:r>
        <w:rPr>
          <w:rFonts w:ascii="Arial" w:eastAsia="Arial" w:hAnsi="Arial" w:cs="Arial"/>
          <w:b/>
        </w:rPr>
        <w:t>HONORABLE CONGRESO DEL ESTADO.</w:t>
      </w:r>
    </w:p>
    <w:p w:rsidR="00CE34AD" w:rsidRDefault="00CE34AD">
      <w:pPr>
        <w:spacing w:line="360" w:lineRule="auto"/>
        <w:ind w:right="62"/>
        <w:jc w:val="both"/>
        <w:rPr>
          <w:rFonts w:ascii="Arial" w:eastAsia="Arial" w:hAnsi="Arial" w:cs="Arial"/>
          <w:b/>
        </w:rPr>
      </w:pPr>
    </w:p>
    <w:p w:rsidR="00CE34AD" w:rsidRDefault="00B275C5">
      <w:pPr>
        <w:spacing w:line="276" w:lineRule="auto"/>
        <w:ind w:firstLine="709"/>
        <w:jc w:val="both"/>
        <w:rPr>
          <w:rFonts w:ascii="Arial" w:eastAsia="Arial" w:hAnsi="Arial" w:cs="Arial"/>
        </w:rPr>
      </w:pPr>
      <w:bookmarkStart w:id="0" w:name="_gjdgxs" w:colFirst="0" w:colLast="0"/>
      <w:bookmarkEnd w:id="0"/>
      <w:r>
        <w:rPr>
          <w:rFonts w:ascii="Arial" w:eastAsia="Arial" w:hAnsi="Arial" w:cs="Arial"/>
        </w:rPr>
        <w:t>Con fundamento en lo previsto en el artículo 43, fracción I, inciso d) de la Ley de Gobierno del Poder Legislativo del Estado de Yucatán, las diputadas y los diput</w:t>
      </w:r>
      <w:r>
        <w:rPr>
          <w:rFonts w:ascii="Arial" w:eastAsia="Arial" w:hAnsi="Arial" w:cs="Arial"/>
        </w:rPr>
        <w:t>ados integrantes de esta Comisión Permanente de Puntos Constitucionales y Gobernación del H. Congreso del Estado de Yucatán de la LXIII Legislatura local, en atención al oficio ACT/423/2021 recibido en la pasada legislatura, así como del contenido de la re</w:t>
      </w:r>
      <w:r>
        <w:rPr>
          <w:rFonts w:ascii="Arial" w:eastAsia="Arial" w:hAnsi="Arial" w:cs="Arial"/>
        </w:rPr>
        <w:t xml:space="preserve">solución dictada en el expediente marcado con el número de identificación PES-016/2021; las diputadas y los diputados integrantes de este órgano legislativo, a fin de emitir una resolución al caso en comento, en los trabajos de estudio y análisis, tomamos </w:t>
      </w:r>
      <w:r>
        <w:rPr>
          <w:rFonts w:ascii="Arial" w:eastAsia="Arial" w:hAnsi="Arial" w:cs="Arial"/>
        </w:rPr>
        <w:t>en consideración los siguientes:</w:t>
      </w:r>
    </w:p>
    <w:p w:rsidR="00CE34AD" w:rsidRDefault="00CE34AD">
      <w:pPr>
        <w:spacing w:line="276" w:lineRule="auto"/>
        <w:ind w:left="3969" w:right="51"/>
        <w:jc w:val="both"/>
        <w:rPr>
          <w:rFonts w:ascii="Arial" w:eastAsia="Arial" w:hAnsi="Arial" w:cs="Arial"/>
        </w:rPr>
      </w:pPr>
    </w:p>
    <w:p w:rsidR="00CE34AD" w:rsidRDefault="00B275C5">
      <w:pPr>
        <w:numPr>
          <w:ilvl w:val="0"/>
          <w:numId w:val="8"/>
        </w:numPr>
        <w:pBdr>
          <w:top w:val="nil"/>
          <w:left w:val="nil"/>
          <w:bottom w:val="nil"/>
          <w:right w:val="nil"/>
          <w:between w:val="nil"/>
        </w:pBdr>
        <w:spacing w:line="360" w:lineRule="auto"/>
        <w:ind w:right="1185" w:hanging="720"/>
        <w:jc w:val="center"/>
        <w:rPr>
          <w:rFonts w:ascii="Arial" w:eastAsia="Arial" w:hAnsi="Arial" w:cs="Arial"/>
        </w:rPr>
      </w:pPr>
      <w:r>
        <w:rPr>
          <w:rFonts w:ascii="Arial" w:eastAsia="Arial" w:hAnsi="Arial" w:cs="Arial"/>
          <w:b/>
        </w:rPr>
        <w:t xml:space="preserve">A N T E C E D E N T E S: </w:t>
      </w:r>
    </w:p>
    <w:p w:rsidR="00CE34AD" w:rsidRDefault="00CE34AD">
      <w:pPr>
        <w:pBdr>
          <w:top w:val="nil"/>
          <w:left w:val="nil"/>
          <w:bottom w:val="nil"/>
          <w:right w:val="nil"/>
          <w:between w:val="nil"/>
        </w:pBdr>
        <w:ind w:left="720"/>
        <w:jc w:val="both"/>
        <w:rPr>
          <w:rFonts w:ascii="Arial" w:eastAsia="Arial" w:hAnsi="Arial" w:cs="Arial"/>
          <w:b/>
        </w:rPr>
      </w:pPr>
    </w:p>
    <w:p w:rsidR="00CE34AD" w:rsidRDefault="00B275C5">
      <w:pPr>
        <w:numPr>
          <w:ilvl w:val="0"/>
          <w:numId w:val="1"/>
        </w:numPr>
        <w:pBdr>
          <w:top w:val="nil"/>
          <w:left w:val="nil"/>
          <w:bottom w:val="nil"/>
          <w:right w:val="nil"/>
          <w:between w:val="nil"/>
        </w:pBdr>
        <w:spacing w:after="160" w:line="259" w:lineRule="auto"/>
        <w:jc w:val="both"/>
        <w:rPr>
          <w:rFonts w:ascii="Arial" w:eastAsia="Arial" w:hAnsi="Arial" w:cs="Arial"/>
          <w:i/>
        </w:rPr>
      </w:pPr>
      <w:r>
        <w:rPr>
          <w:rFonts w:ascii="Arial" w:eastAsia="Arial" w:hAnsi="Arial" w:cs="Arial"/>
          <w:i/>
        </w:rPr>
        <w:t xml:space="preserve">Inicio del Proceso Electoral Ordinario Local 2020-2021. </w:t>
      </w:r>
    </w:p>
    <w:p w:rsidR="00CE34AD" w:rsidRDefault="00B275C5">
      <w:pPr>
        <w:ind w:firstLine="709"/>
        <w:jc w:val="both"/>
        <w:rPr>
          <w:rFonts w:ascii="Arial" w:eastAsia="Arial" w:hAnsi="Arial" w:cs="Arial"/>
        </w:rPr>
      </w:pPr>
      <w:r>
        <w:rPr>
          <w:rFonts w:ascii="Arial" w:eastAsia="Arial" w:hAnsi="Arial" w:cs="Arial"/>
        </w:rPr>
        <w:t>El pasado cuatro de noviembre del año dos mil veinte, dio inicio el proceso electoral ordinario local 2020-2021, por el que se eligieron, diputaciones y regidurías en los 106 municipios del Estado de Yucatán, mediante el acuerdo C.G/031/2020 aprobado por e</w:t>
      </w:r>
      <w:r>
        <w:rPr>
          <w:rFonts w:ascii="Arial" w:eastAsia="Arial" w:hAnsi="Arial" w:cs="Arial"/>
        </w:rPr>
        <w:t xml:space="preserve">l Consejo General del Instituto Electoral y de Participación Ciudadana del Estado de Yucatán (IEPAC).  </w:t>
      </w:r>
    </w:p>
    <w:p w:rsidR="00CE34AD" w:rsidRDefault="00CE34AD">
      <w:pPr>
        <w:jc w:val="both"/>
        <w:rPr>
          <w:rFonts w:ascii="Arial" w:eastAsia="Arial" w:hAnsi="Arial" w:cs="Arial"/>
        </w:rPr>
      </w:pPr>
    </w:p>
    <w:p w:rsidR="00CE34AD" w:rsidRDefault="00B275C5">
      <w:pPr>
        <w:numPr>
          <w:ilvl w:val="0"/>
          <w:numId w:val="1"/>
        </w:numPr>
        <w:pBdr>
          <w:top w:val="nil"/>
          <w:left w:val="nil"/>
          <w:bottom w:val="nil"/>
          <w:right w:val="nil"/>
          <w:between w:val="nil"/>
        </w:pBdr>
        <w:spacing w:after="160" w:line="259" w:lineRule="auto"/>
        <w:jc w:val="both"/>
        <w:rPr>
          <w:rFonts w:ascii="Arial" w:eastAsia="Arial" w:hAnsi="Arial" w:cs="Arial"/>
          <w:i/>
        </w:rPr>
      </w:pPr>
      <w:r>
        <w:rPr>
          <w:rFonts w:ascii="Arial" w:eastAsia="Arial" w:hAnsi="Arial" w:cs="Arial"/>
          <w:i/>
        </w:rPr>
        <w:t>Inicio de Precampañas.</w:t>
      </w:r>
    </w:p>
    <w:p w:rsidR="00CE34AD" w:rsidRDefault="00B275C5">
      <w:pPr>
        <w:ind w:firstLine="709"/>
        <w:jc w:val="both"/>
        <w:rPr>
          <w:rFonts w:ascii="Arial" w:eastAsia="Arial" w:hAnsi="Arial" w:cs="Arial"/>
        </w:rPr>
      </w:pPr>
      <w:r>
        <w:rPr>
          <w:rFonts w:ascii="Arial" w:eastAsia="Arial" w:hAnsi="Arial" w:cs="Arial"/>
        </w:rPr>
        <w:lastRenderedPageBreak/>
        <w:t>La Comisión Especial de Precampañas del Instituto local electoral, mediante acuerdo 043/2021 acordó el inicio de las precampañas</w:t>
      </w:r>
      <w:r>
        <w:rPr>
          <w:rFonts w:ascii="Arial" w:eastAsia="Arial" w:hAnsi="Arial" w:cs="Arial"/>
        </w:rPr>
        <w:t xml:space="preserve"> del proceso electoral estatal del 08 de enero al 12 de febrero del año 2021.</w:t>
      </w:r>
    </w:p>
    <w:p w:rsidR="00CE34AD" w:rsidRDefault="00CE34AD">
      <w:pPr>
        <w:jc w:val="both"/>
        <w:rPr>
          <w:rFonts w:ascii="Arial" w:eastAsia="Arial" w:hAnsi="Arial" w:cs="Arial"/>
        </w:rPr>
      </w:pPr>
    </w:p>
    <w:p w:rsidR="00CE34AD" w:rsidRDefault="00B275C5">
      <w:pPr>
        <w:numPr>
          <w:ilvl w:val="0"/>
          <w:numId w:val="1"/>
        </w:numPr>
        <w:pBdr>
          <w:top w:val="nil"/>
          <w:left w:val="nil"/>
          <w:bottom w:val="nil"/>
          <w:right w:val="nil"/>
          <w:between w:val="nil"/>
        </w:pBdr>
        <w:spacing w:after="160" w:line="259" w:lineRule="auto"/>
        <w:jc w:val="both"/>
        <w:rPr>
          <w:rFonts w:ascii="Arial" w:eastAsia="Arial" w:hAnsi="Arial" w:cs="Arial"/>
          <w:i/>
        </w:rPr>
      </w:pPr>
      <w:r>
        <w:rPr>
          <w:rFonts w:ascii="Arial" w:eastAsia="Arial" w:hAnsi="Arial" w:cs="Arial"/>
          <w:i/>
        </w:rPr>
        <w:t>Inicio de la Campaña Electoral.</w:t>
      </w:r>
    </w:p>
    <w:p w:rsidR="00CE34AD" w:rsidRDefault="00B275C5">
      <w:pPr>
        <w:ind w:firstLine="709"/>
        <w:jc w:val="both"/>
        <w:rPr>
          <w:rFonts w:ascii="Arial" w:eastAsia="Arial" w:hAnsi="Arial" w:cs="Arial"/>
        </w:rPr>
      </w:pPr>
      <w:r>
        <w:rPr>
          <w:rFonts w:ascii="Arial" w:eastAsia="Arial" w:hAnsi="Arial" w:cs="Arial"/>
        </w:rPr>
        <w:t xml:space="preserve">Concluidas las precampañas, se tuvo como fecha de inicio de campaña electoral el día 09 de abril al 02 de junio del año 2021.  </w:t>
      </w:r>
    </w:p>
    <w:p w:rsidR="00CE34AD" w:rsidRDefault="00CE34AD">
      <w:pPr>
        <w:jc w:val="both"/>
        <w:rPr>
          <w:rFonts w:ascii="Arial" w:eastAsia="Arial" w:hAnsi="Arial" w:cs="Arial"/>
        </w:rPr>
      </w:pPr>
    </w:p>
    <w:p w:rsidR="00CE34AD" w:rsidRDefault="00B275C5">
      <w:pPr>
        <w:numPr>
          <w:ilvl w:val="0"/>
          <w:numId w:val="1"/>
        </w:numPr>
        <w:pBdr>
          <w:top w:val="nil"/>
          <w:left w:val="nil"/>
          <w:bottom w:val="nil"/>
          <w:right w:val="nil"/>
          <w:between w:val="nil"/>
        </w:pBdr>
        <w:spacing w:after="160" w:line="259" w:lineRule="auto"/>
        <w:jc w:val="both"/>
        <w:rPr>
          <w:rFonts w:ascii="Arial" w:eastAsia="Arial" w:hAnsi="Arial" w:cs="Arial"/>
          <w:i/>
        </w:rPr>
      </w:pPr>
      <w:r>
        <w:rPr>
          <w:rFonts w:ascii="Arial" w:eastAsia="Arial" w:hAnsi="Arial" w:cs="Arial"/>
          <w:i/>
        </w:rPr>
        <w:t>Jornada Electora</w:t>
      </w:r>
      <w:r>
        <w:rPr>
          <w:rFonts w:ascii="Arial" w:eastAsia="Arial" w:hAnsi="Arial" w:cs="Arial"/>
          <w:i/>
        </w:rPr>
        <w:t>l.</w:t>
      </w:r>
    </w:p>
    <w:p w:rsidR="00CE34AD" w:rsidRDefault="00B275C5">
      <w:pPr>
        <w:ind w:firstLine="709"/>
        <w:jc w:val="both"/>
        <w:rPr>
          <w:rFonts w:ascii="Arial" w:eastAsia="Arial" w:hAnsi="Arial" w:cs="Arial"/>
        </w:rPr>
      </w:pPr>
      <w:r>
        <w:rPr>
          <w:rFonts w:ascii="Arial" w:eastAsia="Arial" w:hAnsi="Arial" w:cs="Arial"/>
        </w:rPr>
        <w:t>La jornada electoral del proceso 2020-2021 se verificó el día domingo 06 de junio del año en curso.</w:t>
      </w:r>
    </w:p>
    <w:p w:rsidR="00CE34AD" w:rsidRDefault="00CE34AD">
      <w:pPr>
        <w:pBdr>
          <w:top w:val="nil"/>
          <w:left w:val="nil"/>
          <w:bottom w:val="nil"/>
          <w:right w:val="nil"/>
          <w:between w:val="nil"/>
        </w:pBdr>
        <w:ind w:left="720"/>
        <w:rPr>
          <w:rFonts w:ascii="Arial" w:eastAsia="Arial" w:hAnsi="Arial" w:cs="Arial"/>
          <w:b/>
        </w:rPr>
      </w:pPr>
    </w:p>
    <w:p w:rsidR="00CE34AD" w:rsidRDefault="00B275C5">
      <w:pPr>
        <w:numPr>
          <w:ilvl w:val="0"/>
          <w:numId w:val="2"/>
        </w:numPr>
        <w:pBdr>
          <w:top w:val="nil"/>
          <w:left w:val="nil"/>
          <w:bottom w:val="nil"/>
          <w:right w:val="nil"/>
          <w:between w:val="nil"/>
        </w:pBdr>
        <w:spacing w:after="160" w:line="259" w:lineRule="auto"/>
        <w:jc w:val="both"/>
        <w:rPr>
          <w:rFonts w:ascii="Arial" w:eastAsia="Arial" w:hAnsi="Arial" w:cs="Arial"/>
          <w:i/>
        </w:rPr>
      </w:pPr>
      <w:r>
        <w:rPr>
          <w:rFonts w:ascii="Arial" w:eastAsia="Arial" w:hAnsi="Arial" w:cs="Arial"/>
          <w:i/>
          <w:sz w:val="22"/>
          <w:szCs w:val="22"/>
        </w:rPr>
        <w:t>Denuncia.</w:t>
      </w:r>
    </w:p>
    <w:p w:rsidR="00CE34AD" w:rsidRDefault="00B275C5">
      <w:pPr>
        <w:ind w:firstLine="709"/>
        <w:jc w:val="both"/>
        <w:rPr>
          <w:rFonts w:ascii="Arial" w:eastAsia="Arial" w:hAnsi="Arial" w:cs="Arial"/>
        </w:rPr>
      </w:pPr>
      <w:r>
        <w:rPr>
          <w:rFonts w:ascii="Arial" w:eastAsia="Arial" w:hAnsi="Arial" w:cs="Arial"/>
        </w:rPr>
        <w:t>Los actos que se atribuyeron al Gobernador Constitucional del Estado, fueron denunciados por el representante del Partido MORENA ante el IEPAC en fecha 28 de abril del año 2021.</w:t>
      </w:r>
    </w:p>
    <w:p w:rsidR="00CE34AD" w:rsidRDefault="00CE34AD">
      <w:pPr>
        <w:jc w:val="both"/>
        <w:rPr>
          <w:rFonts w:ascii="Arial" w:eastAsia="Arial" w:hAnsi="Arial" w:cs="Arial"/>
        </w:rPr>
      </w:pPr>
    </w:p>
    <w:p w:rsidR="00CE34AD" w:rsidRDefault="00B275C5">
      <w:pPr>
        <w:numPr>
          <w:ilvl w:val="0"/>
          <w:numId w:val="2"/>
        </w:numPr>
        <w:pBdr>
          <w:top w:val="nil"/>
          <w:left w:val="nil"/>
          <w:bottom w:val="nil"/>
          <w:right w:val="nil"/>
          <w:between w:val="nil"/>
        </w:pBdr>
        <w:spacing w:after="160" w:line="259" w:lineRule="auto"/>
        <w:jc w:val="both"/>
        <w:rPr>
          <w:rFonts w:ascii="Arial" w:eastAsia="Arial" w:hAnsi="Arial" w:cs="Arial"/>
          <w:i/>
        </w:rPr>
      </w:pPr>
      <w:r>
        <w:rPr>
          <w:rFonts w:ascii="Arial" w:eastAsia="Arial" w:hAnsi="Arial" w:cs="Arial"/>
          <w:i/>
          <w:sz w:val="22"/>
          <w:szCs w:val="22"/>
        </w:rPr>
        <w:t xml:space="preserve">Admisión de la denuncia. </w:t>
      </w:r>
    </w:p>
    <w:p w:rsidR="00CE34AD" w:rsidRDefault="00B275C5">
      <w:pPr>
        <w:ind w:firstLine="709"/>
        <w:jc w:val="both"/>
        <w:rPr>
          <w:rFonts w:ascii="Arial" w:eastAsia="Arial" w:hAnsi="Arial" w:cs="Arial"/>
          <w:strike/>
        </w:rPr>
      </w:pPr>
      <w:r>
        <w:rPr>
          <w:rFonts w:ascii="Arial" w:eastAsia="Arial" w:hAnsi="Arial" w:cs="Arial"/>
        </w:rPr>
        <w:t>Con fecha 30 de mayo del año 2021, el IEPAC tuvo po</w:t>
      </w:r>
      <w:r>
        <w:rPr>
          <w:rFonts w:ascii="Arial" w:eastAsia="Arial" w:hAnsi="Arial" w:cs="Arial"/>
        </w:rPr>
        <w:t xml:space="preserve">r admitida la denuncia en contra del C. Mauricio Vila Dosal, Gobernador Constitucional del Estado por realizar actos que contravenían los Principios Constitucionales y normatividad electoral por uso indebido de recursos y propaganda personalizada, como se </w:t>
      </w:r>
      <w:r>
        <w:rPr>
          <w:rFonts w:ascii="Arial" w:eastAsia="Arial" w:hAnsi="Arial" w:cs="Arial"/>
        </w:rPr>
        <w:t>aprecia, fueron hechos que acontecieron durante el periodo denominado de Campaña Electoral.</w:t>
      </w:r>
    </w:p>
    <w:p w:rsidR="00CE34AD" w:rsidRDefault="00CE34AD">
      <w:pPr>
        <w:ind w:firstLine="709"/>
        <w:jc w:val="both"/>
        <w:rPr>
          <w:rFonts w:ascii="Arial" w:eastAsia="Arial" w:hAnsi="Arial" w:cs="Arial"/>
          <w:b/>
          <w:u w:val="single"/>
        </w:rPr>
      </w:pPr>
    </w:p>
    <w:p w:rsidR="00CE34AD" w:rsidRDefault="00B275C5">
      <w:pPr>
        <w:ind w:firstLine="709"/>
        <w:jc w:val="both"/>
        <w:rPr>
          <w:rFonts w:ascii="Arial" w:eastAsia="Arial" w:hAnsi="Arial" w:cs="Arial"/>
        </w:rPr>
      </w:pPr>
      <w:r>
        <w:rPr>
          <w:rFonts w:ascii="Arial" w:eastAsia="Arial" w:hAnsi="Arial" w:cs="Arial"/>
        </w:rPr>
        <w:t>Derivado de lo anterior, el IEPAC remitió el expediente UTCE/SE/061/2021 al Tribunal Electoral del Estado de Yucatán en fecha 02 de junio del año 2021 año para los</w:t>
      </w:r>
      <w:r>
        <w:rPr>
          <w:rFonts w:ascii="Arial" w:eastAsia="Arial" w:hAnsi="Arial" w:cs="Arial"/>
        </w:rPr>
        <w:t xml:space="preserve"> efectos correspondientes. </w:t>
      </w:r>
    </w:p>
    <w:p w:rsidR="00CE34AD" w:rsidRDefault="00CE34AD">
      <w:pPr>
        <w:ind w:firstLine="709"/>
        <w:jc w:val="both"/>
        <w:rPr>
          <w:rFonts w:ascii="Arial" w:eastAsia="Arial" w:hAnsi="Arial" w:cs="Arial"/>
        </w:rPr>
      </w:pPr>
    </w:p>
    <w:p w:rsidR="00CE34AD" w:rsidRDefault="00B275C5">
      <w:pPr>
        <w:numPr>
          <w:ilvl w:val="0"/>
          <w:numId w:val="2"/>
        </w:numPr>
        <w:pBdr>
          <w:top w:val="nil"/>
          <w:left w:val="nil"/>
          <w:bottom w:val="nil"/>
          <w:right w:val="nil"/>
          <w:between w:val="nil"/>
        </w:pBdr>
        <w:spacing w:after="160" w:line="259" w:lineRule="auto"/>
        <w:jc w:val="both"/>
        <w:rPr>
          <w:rFonts w:ascii="Arial" w:eastAsia="Arial" w:hAnsi="Arial" w:cs="Arial"/>
          <w:i/>
        </w:rPr>
      </w:pPr>
      <w:r>
        <w:rPr>
          <w:rFonts w:ascii="Arial" w:eastAsia="Arial" w:hAnsi="Arial" w:cs="Arial"/>
          <w:i/>
          <w:sz w:val="22"/>
          <w:szCs w:val="22"/>
        </w:rPr>
        <w:t>Resolución del TEEY.</w:t>
      </w:r>
    </w:p>
    <w:p w:rsidR="00CE34AD" w:rsidRDefault="00B275C5">
      <w:pPr>
        <w:ind w:firstLine="709"/>
        <w:jc w:val="both"/>
        <w:rPr>
          <w:rFonts w:ascii="Arial" w:eastAsia="Arial" w:hAnsi="Arial" w:cs="Arial"/>
        </w:rPr>
      </w:pPr>
      <w:r>
        <w:rPr>
          <w:rFonts w:ascii="Arial" w:eastAsia="Arial" w:hAnsi="Arial" w:cs="Arial"/>
        </w:rPr>
        <w:t xml:space="preserve">El Tribunal Electoral del Estado de Yucatán, con base al estudio y análisis del Procedimiento Especial Sancionador, identificado con el número PES-016/2021, en fecha 16 de junio del año 2021, resolvió como </w:t>
      </w:r>
      <w:r>
        <w:rPr>
          <w:rFonts w:ascii="Arial" w:eastAsia="Arial" w:hAnsi="Arial" w:cs="Arial"/>
        </w:rPr>
        <w:t xml:space="preserve">inexistentes los hechos que se atribuían al C. Mauricio Vila Dosal como Gobernador del Estado de Yucatán en relación a lo denunciado en el procedimiento en cita. </w:t>
      </w:r>
    </w:p>
    <w:p w:rsidR="00CE34AD" w:rsidRDefault="00CE34AD">
      <w:pPr>
        <w:ind w:firstLine="709"/>
        <w:jc w:val="both"/>
        <w:rPr>
          <w:rFonts w:ascii="Arial" w:eastAsia="Arial" w:hAnsi="Arial" w:cs="Arial"/>
        </w:rPr>
      </w:pPr>
    </w:p>
    <w:p w:rsidR="00CE34AD" w:rsidRDefault="00B275C5">
      <w:pPr>
        <w:ind w:firstLine="709"/>
        <w:jc w:val="both"/>
        <w:rPr>
          <w:rFonts w:ascii="Arial" w:eastAsia="Arial" w:hAnsi="Arial" w:cs="Arial"/>
        </w:rPr>
      </w:pPr>
      <w:r>
        <w:rPr>
          <w:rFonts w:ascii="Arial" w:eastAsia="Arial" w:hAnsi="Arial" w:cs="Arial"/>
        </w:rPr>
        <w:t xml:space="preserve">Inconforme con lo anterior, el 20 de junio del año 2021 el denunciante presentó el medio de </w:t>
      </w:r>
      <w:r>
        <w:rPr>
          <w:rFonts w:ascii="Arial" w:eastAsia="Arial" w:hAnsi="Arial" w:cs="Arial"/>
        </w:rPr>
        <w:t xml:space="preserve">impugnación correspondiente (revisión) a fin de que la Sala Regional Xalapa resolviera en definitiva respecto a los hechos motivos de la queja. </w:t>
      </w:r>
    </w:p>
    <w:p w:rsidR="00CE34AD" w:rsidRDefault="00CE34AD">
      <w:pPr>
        <w:jc w:val="both"/>
        <w:rPr>
          <w:rFonts w:ascii="Arial" w:eastAsia="Arial" w:hAnsi="Arial" w:cs="Arial"/>
        </w:rPr>
      </w:pPr>
    </w:p>
    <w:p w:rsidR="00CE34AD" w:rsidRDefault="00B275C5">
      <w:pPr>
        <w:numPr>
          <w:ilvl w:val="0"/>
          <w:numId w:val="2"/>
        </w:numPr>
        <w:pBdr>
          <w:top w:val="nil"/>
          <w:left w:val="nil"/>
          <w:bottom w:val="nil"/>
          <w:right w:val="nil"/>
          <w:between w:val="nil"/>
        </w:pBdr>
        <w:spacing w:after="160" w:line="259" w:lineRule="auto"/>
        <w:jc w:val="both"/>
        <w:rPr>
          <w:rFonts w:ascii="Arial" w:eastAsia="Arial" w:hAnsi="Arial" w:cs="Arial"/>
          <w:i/>
        </w:rPr>
      </w:pPr>
      <w:r>
        <w:rPr>
          <w:rFonts w:ascii="Arial" w:eastAsia="Arial" w:hAnsi="Arial" w:cs="Arial"/>
          <w:i/>
        </w:rPr>
        <w:t>Resolución de la Sala Regional Xalapa.</w:t>
      </w:r>
    </w:p>
    <w:p w:rsidR="00CE34AD" w:rsidRDefault="00B275C5">
      <w:pPr>
        <w:ind w:firstLine="709"/>
        <w:jc w:val="both"/>
        <w:rPr>
          <w:rFonts w:ascii="Arial" w:eastAsia="Arial" w:hAnsi="Arial" w:cs="Arial"/>
        </w:rPr>
      </w:pPr>
      <w:r>
        <w:rPr>
          <w:rFonts w:ascii="Arial" w:eastAsia="Arial" w:hAnsi="Arial" w:cs="Arial"/>
        </w:rPr>
        <w:t>La Sala Regional Xalapa, una vez estudiados los autos y constancias de la queja en comento, en fecha 16 de julio del año 2021, mediante el recurso identificado como en el expediente CX/JE/165/2021, resolvió revocar la decisión del Tribunal Electoral del Es</w:t>
      </w:r>
      <w:r>
        <w:rPr>
          <w:rFonts w:ascii="Arial" w:eastAsia="Arial" w:hAnsi="Arial" w:cs="Arial"/>
        </w:rPr>
        <w:t xml:space="preserve">tado de Yucatán, ordenando emitir una nueva sentencia en la que considerase todas las pruebas ofrecidas para que, con libertad de jurisdicción resolviera respecto a los hechos denunciados. </w:t>
      </w:r>
    </w:p>
    <w:p w:rsidR="00CE34AD" w:rsidRDefault="00CE34AD">
      <w:pPr>
        <w:ind w:firstLine="709"/>
        <w:jc w:val="both"/>
        <w:rPr>
          <w:rFonts w:ascii="Arial" w:eastAsia="Arial" w:hAnsi="Arial" w:cs="Arial"/>
        </w:rPr>
      </w:pPr>
    </w:p>
    <w:p w:rsidR="00CE34AD" w:rsidRDefault="00B275C5">
      <w:pPr>
        <w:numPr>
          <w:ilvl w:val="0"/>
          <w:numId w:val="2"/>
        </w:numPr>
        <w:pBdr>
          <w:top w:val="nil"/>
          <w:left w:val="nil"/>
          <w:bottom w:val="nil"/>
          <w:right w:val="nil"/>
          <w:between w:val="nil"/>
        </w:pBdr>
        <w:spacing w:after="160" w:line="259" w:lineRule="auto"/>
        <w:jc w:val="both"/>
        <w:rPr>
          <w:rFonts w:ascii="Arial" w:eastAsia="Arial" w:hAnsi="Arial" w:cs="Arial"/>
          <w:i/>
        </w:rPr>
      </w:pPr>
      <w:r>
        <w:rPr>
          <w:rFonts w:ascii="Arial" w:eastAsia="Arial" w:hAnsi="Arial" w:cs="Arial"/>
          <w:i/>
        </w:rPr>
        <w:t>Nueva resolución del TEEY.</w:t>
      </w:r>
    </w:p>
    <w:p w:rsidR="00CE34AD" w:rsidRDefault="00B275C5">
      <w:pPr>
        <w:jc w:val="both"/>
        <w:rPr>
          <w:rFonts w:ascii="Arial" w:eastAsia="Arial" w:hAnsi="Arial" w:cs="Arial"/>
        </w:rPr>
      </w:pPr>
      <w:r>
        <w:rPr>
          <w:rFonts w:ascii="Arial" w:eastAsia="Arial" w:hAnsi="Arial" w:cs="Arial"/>
        </w:rPr>
        <w:t>El Tribunal Electoral del Estado de Yu</w:t>
      </w:r>
      <w:r>
        <w:rPr>
          <w:rFonts w:ascii="Arial" w:eastAsia="Arial" w:hAnsi="Arial" w:cs="Arial"/>
        </w:rPr>
        <w:t>catán, por mayoría de votos, en fecha de 24 de julio del año 2021 resolvió como existentes infracciones atribuidas al C. Mauricio Vila Dosal, como Gobernador Constitucional del Estado de Yucatán al realizar 8 publicaciones en la red social denominada “Twit</w:t>
      </w:r>
      <w:r>
        <w:rPr>
          <w:rFonts w:ascii="Arial" w:eastAsia="Arial" w:hAnsi="Arial" w:cs="Arial"/>
        </w:rPr>
        <w:t>ter” que configuraron:</w:t>
      </w:r>
    </w:p>
    <w:p w:rsidR="00CE34AD" w:rsidRDefault="00CE34AD">
      <w:pPr>
        <w:jc w:val="both"/>
        <w:rPr>
          <w:rFonts w:ascii="Arial" w:eastAsia="Arial" w:hAnsi="Arial" w:cs="Arial"/>
        </w:rPr>
      </w:pPr>
    </w:p>
    <w:p w:rsidR="00CE34AD" w:rsidRDefault="00B275C5">
      <w:pPr>
        <w:numPr>
          <w:ilvl w:val="0"/>
          <w:numId w:val="5"/>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Propaganda Gubernamental prohibida vulnerando el Principio de imparcialidad, al realizarse en la campaña electoral.</w:t>
      </w:r>
    </w:p>
    <w:p w:rsidR="00CE34AD" w:rsidRDefault="00CE34AD">
      <w:pPr>
        <w:pBdr>
          <w:top w:val="nil"/>
          <w:left w:val="nil"/>
          <w:bottom w:val="nil"/>
          <w:right w:val="nil"/>
          <w:between w:val="nil"/>
        </w:pBdr>
        <w:ind w:left="720"/>
        <w:jc w:val="both"/>
        <w:rPr>
          <w:rFonts w:ascii="Arial" w:eastAsia="Arial" w:hAnsi="Arial" w:cs="Arial"/>
        </w:rPr>
      </w:pPr>
    </w:p>
    <w:p w:rsidR="00CE34AD" w:rsidRDefault="00B275C5">
      <w:pPr>
        <w:numPr>
          <w:ilvl w:val="0"/>
          <w:numId w:val="5"/>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Promoción personalizada del Gobernador del Estado durante el periodo de campaña electoral.</w:t>
      </w:r>
    </w:p>
    <w:p w:rsidR="00CE34AD" w:rsidRDefault="00CE34AD">
      <w:pPr>
        <w:pBdr>
          <w:top w:val="nil"/>
          <w:left w:val="nil"/>
          <w:bottom w:val="nil"/>
          <w:right w:val="nil"/>
          <w:between w:val="nil"/>
        </w:pBdr>
        <w:ind w:left="720"/>
        <w:rPr>
          <w:rFonts w:ascii="Arial" w:eastAsia="Arial" w:hAnsi="Arial" w:cs="Arial"/>
        </w:rPr>
      </w:pPr>
    </w:p>
    <w:p w:rsidR="00CE34AD" w:rsidRDefault="00B275C5">
      <w:pPr>
        <w:numPr>
          <w:ilvl w:val="0"/>
          <w:numId w:val="5"/>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Uso indebido de recursos públicos que afectaron la imparcialidad del proceso electoral 2020-2021.</w:t>
      </w:r>
    </w:p>
    <w:p w:rsidR="00CE34AD" w:rsidRDefault="00CE34AD">
      <w:pPr>
        <w:pBdr>
          <w:top w:val="nil"/>
          <w:left w:val="nil"/>
          <w:bottom w:val="nil"/>
          <w:right w:val="nil"/>
          <w:between w:val="nil"/>
        </w:pBdr>
        <w:ind w:left="720"/>
        <w:rPr>
          <w:rFonts w:ascii="Arial" w:eastAsia="Arial" w:hAnsi="Arial" w:cs="Arial"/>
          <w:b/>
          <w:u w:val="single"/>
        </w:rPr>
      </w:pPr>
    </w:p>
    <w:p w:rsidR="00CE34AD" w:rsidRDefault="00B275C5">
      <w:pPr>
        <w:ind w:firstLine="709"/>
        <w:jc w:val="both"/>
        <w:rPr>
          <w:rFonts w:ascii="Arial" w:eastAsia="Arial" w:hAnsi="Arial" w:cs="Arial"/>
        </w:rPr>
      </w:pPr>
      <w:r>
        <w:rPr>
          <w:rFonts w:ascii="Arial" w:eastAsia="Arial" w:hAnsi="Arial" w:cs="Arial"/>
        </w:rPr>
        <w:t xml:space="preserve">De lo resuelto por el TEEY al haberse considerado que, en 8 de las 40 publicaciones impugnadas, se configura la existencia de infracciones por el Gobernador </w:t>
      </w:r>
      <w:r>
        <w:rPr>
          <w:rFonts w:ascii="Arial" w:eastAsia="Arial" w:hAnsi="Arial" w:cs="Arial"/>
        </w:rPr>
        <w:t>del Estado de Yucatán, en el punto resolutivo segundo se ordena dar vista al Congreso del Estado de Yucatán para la determinar la sanción a la que haya lugar.</w:t>
      </w:r>
    </w:p>
    <w:p w:rsidR="00CE34AD" w:rsidRDefault="00CE34AD">
      <w:pPr>
        <w:ind w:firstLine="709"/>
        <w:jc w:val="both"/>
        <w:rPr>
          <w:rFonts w:ascii="Arial" w:eastAsia="Arial" w:hAnsi="Arial" w:cs="Arial"/>
        </w:rPr>
      </w:pPr>
    </w:p>
    <w:p w:rsidR="00CE34AD" w:rsidRDefault="00B275C5">
      <w:pPr>
        <w:numPr>
          <w:ilvl w:val="0"/>
          <w:numId w:val="2"/>
        </w:numPr>
        <w:pBdr>
          <w:top w:val="nil"/>
          <w:left w:val="nil"/>
          <w:bottom w:val="nil"/>
          <w:right w:val="nil"/>
          <w:between w:val="nil"/>
        </w:pBdr>
        <w:spacing w:after="160" w:line="259" w:lineRule="auto"/>
        <w:jc w:val="both"/>
        <w:rPr>
          <w:rFonts w:ascii="Arial" w:eastAsia="Arial" w:hAnsi="Arial" w:cs="Arial"/>
          <w:i/>
        </w:rPr>
      </w:pPr>
      <w:r>
        <w:rPr>
          <w:rFonts w:ascii="Arial" w:eastAsia="Arial" w:hAnsi="Arial" w:cs="Arial"/>
          <w:i/>
        </w:rPr>
        <w:t>Juicio electoral interpuesto por el titular del Poder Ejecutivo.</w:t>
      </w:r>
    </w:p>
    <w:p w:rsidR="00CE34AD" w:rsidRDefault="00B275C5">
      <w:pPr>
        <w:ind w:firstLine="709"/>
        <w:jc w:val="both"/>
        <w:rPr>
          <w:rFonts w:ascii="Arial" w:eastAsia="Arial" w:hAnsi="Arial" w:cs="Arial"/>
        </w:rPr>
      </w:pPr>
      <w:r>
        <w:rPr>
          <w:rFonts w:ascii="Arial" w:eastAsia="Arial" w:hAnsi="Arial" w:cs="Arial"/>
        </w:rPr>
        <w:t xml:space="preserve">Con fecha 13 de agosto del año </w:t>
      </w:r>
      <w:r>
        <w:rPr>
          <w:rFonts w:ascii="Arial" w:eastAsia="Arial" w:hAnsi="Arial" w:cs="Arial"/>
        </w:rPr>
        <w:t>2021, se recibió el oficio CJ/DC/OC/1260/2021 signado por el Consejero Jurídico como representante legal del C. Mauricio Vila Dosal, Gobernador Constitucional del Estado, mediante el cual informa que se interpuso el juicio electoral número SX-JE-188/2021 e</w:t>
      </w:r>
      <w:r>
        <w:rPr>
          <w:rFonts w:ascii="Arial" w:eastAsia="Arial" w:hAnsi="Arial" w:cs="Arial"/>
        </w:rPr>
        <w:t xml:space="preserve">n contra de la resolución emitida por el Tribunal Electoral del Estado de Yucatán. </w:t>
      </w:r>
    </w:p>
    <w:p w:rsidR="00CE34AD" w:rsidRDefault="00CE34AD">
      <w:pPr>
        <w:ind w:firstLine="709"/>
        <w:jc w:val="both"/>
        <w:rPr>
          <w:rFonts w:ascii="Arial" w:eastAsia="Arial" w:hAnsi="Arial" w:cs="Arial"/>
        </w:rPr>
      </w:pPr>
    </w:p>
    <w:p w:rsidR="00CE34AD" w:rsidRDefault="00CE34AD">
      <w:pPr>
        <w:ind w:firstLine="709"/>
        <w:jc w:val="both"/>
        <w:rPr>
          <w:rFonts w:ascii="Arial" w:eastAsia="Arial" w:hAnsi="Arial" w:cs="Arial"/>
        </w:rPr>
      </w:pPr>
    </w:p>
    <w:p w:rsidR="00CE34AD" w:rsidRDefault="00CE34AD">
      <w:pPr>
        <w:ind w:firstLine="709"/>
        <w:jc w:val="both"/>
        <w:rPr>
          <w:rFonts w:ascii="Arial" w:eastAsia="Arial" w:hAnsi="Arial" w:cs="Arial"/>
        </w:rPr>
      </w:pPr>
    </w:p>
    <w:p w:rsidR="00CE34AD" w:rsidRDefault="00B275C5">
      <w:pPr>
        <w:ind w:firstLine="709"/>
        <w:jc w:val="both"/>
        <w:rPr>
          <w:rFonts w:ascii="Arial" w:eastAsia="Arial" w:hAnsi="Arial" w:cs="Arial"/>
          <w:strike/>
        </w:rPr>
      </w:pPr>
      <w:r>
        <w:rPr>
          <w:rFonts w:ascii="Arial" w:eastAsia="Arial" w:hAnsi="Arial" w:cs="Arial"/>
        </w:rPr>
        <w:lastRenderedPageBreak/>
        <w:t>Con fecha 20 de agosto del año 2021, la Sala Xalapa del Tribunal Electoral del Poder Judicial de la Federación resolvió confirmar los puntos resolutivos del Tribunal Electoral del Estado de Yucatán.</w:t>
      </w:r>
      <w:r>
        <w:rPr>
          <w:rFonts w:ascii="Arial" w:eastAsia="Arial" w:hAnsi="Arial" w:cs="Arial"/>
          <w:strike/>
        </w:rPr>
        <w:t xml:space="preserve"> </w:t>
      </w:r>
    </w:p>
    <w:p w:rsidR="00CE34AD" w:rsidRDefault="00CE34AD">
      <w:pPr>
        <w:ind w:firstLine="709"/>
        <w:jc w:val="both"/>
        <w:rPr>
          <w:rFonts w:ascii="Arial" w:eastAsia="Arial" w:hAnsi="Arial" w:cs="Arial"/>
        </w:rPr>
      </w:pPr>
    </w:p>
    <w:p w:rsidR="00CE34AD" w:rsidRDefault="00B275C5">
      <w:pPr>
        <w:numPr>
          <w:ilvl w:val="0"/>
          <w:numId w:val="2"/>
        </w:numPr>
        <w:pBdr>
          <w:top w:val="nil"/>
          <w:left w:val="nil"/>
          <w:bottom w:val="nil"/>
          <w:right w:val="nil"/>
          <w:between w:val="nil"/>
        </w:pBdr>
        <w:spacing w:after="160" w:line="259" w:lineRule="auto"/>
        <w:jc w:val="both"/>
        <w:rPr>
          <w:rFonts w:ascii="Arial" w:eastAsia="Arial" w:hAnsi="Arial" w:cs="Arial"/>
          <w:i/>
        </w:rPr>
      </w:pPr>
      <w:r>
        <w:rPr>
          <w:rFonts w:ascii="Arial" w:eastAsia="Arial" w:hAnsi="Arial" w:cs="Arial"/>
          <w:i/>
        </w:rPr>
        <w:t>Recurso ante Sala Superior interpuesto por el titular d</w:t>
      </w:r>
      <w:r>
        <w:rPr>
          <w:rFonts w:ascii="Arial" w:eastAsia="Arial" w:hAnsi="Arial" w:cs="Arial"/>
          <w:i/>
        </w:rPr>
        <w:t>el Poder Ejecutivo.</w:t>
      </w:r>
    </w:p>
    <w:p w:rsidR="00CE34AD" w:rsidRDefault="00B275C5">
      <w:pPr>
        <w:ind w:firstLine="709"/>
        <w:jc w:val="both"/>
        <w:rPr>
          <w:rFonts w:ascii="Arial" w:eastAsia="Arial" w:hAnsi="Arial" w:cs="Arial"/>
        </w:rPr>
      </w:pPr>
      <w:r>
        <w:rPr>
          <w:rFonts w:ascii="Arial" w:eastAsia="Arial" w:hAnsi="Arial" w:cs="Arial"/>
        </w:rPr>
        <w:t>Se interpuso ante la Sala Superior del Tribunal Electoral del Poder Judicial de la Federación por parte del Consejero Jurídico como representante legal del C. Mauricio Vila Dosal, Gobernador Constitucional del Estado, el recurso de reco</w:t>
      </w:r>
      <w:r>
        <w:rPr>
          <w:rFonts w:ascii="Arial" w:eastAsia="Arial" w:hAnsi="Arial" w:cs="Arial"/>
        </w:rPr>
        <w:t>nsideración en contra de la resolución emitida por la Sala Regional del Tribunal Electoral del Poder Judicial de la Federación, correspondiente a la Tercera Circunscripción Plurinominal, con sede en Xalapa, Veracruz.</w:t>
      </w:r>
    </w:p>
    <w:p w:rsidR="00CE34AD" w:rsidRDefault="00CE34AD">
      <w:pPr>
        <w:ind w:firstLine="709"/>
        <w:jc w:val="both"/>
        <w:rPr>
          <w:rFonts w:ascii="Arial" w:eastAsia="Arial" w:hAnsi="Arial" w:cs="Arial"/>
        </w:rPr>
      </w:pPr>
    </w:p>
    <w:p w:rsidR="00CE34AD" w:rsidRDefault="00B275C5">
      <w:pPr>
        <w:numPr>
          <w:ilvl w:val="0"/>
          <w:numId w:val="8"/>
        </w:numPr>
        <w:pBdr>
          <w:top w:val="nil"/>
          <w:left w:val="nil"/>
          <w:bottom w:val="nil"/>
          <w:right w:val="nil"/>
          <w:between w:val="nil"/>
        </w:pBdr>
        <w:spacing w:after="160" w:line="259" w:lineRule="auto"/>
        <w:ind w:hanging="720"/>
        <w:rPr>
          <w:rFonts w:ascii="Arial" w:eastAsia="Arial" w:hAnsi="Arial" w:cs="Arial"/>
        </w:rPr>
      </w:pPr>
      <w:r>
        <w:rPr>
          <w:rFonts w:ascii="Arial" w:eastAsia="Arial" w:hAnsi="Arial" w:cs="Arial"/>
          <w:b/>
          <w:sz w:val="22"/>
          <w:szCs w:val="22"/>
        </w:rPr>
        <w:t>COMPETENCIA DEL HONORABLE CONGRESO DEL</w:t>
      </w:r>
      <w:r>
        <w:rPr>
          <w:rFonts w:ascii="Arial" w:eastAsia="Arial" w:hAnsi="Arial" w:cs="Arial"/>
          <w:b/>
          <w:sz w:val="22"/>
          <w:szCs w:val="22"/>
        </w:rPr>
        <w:t xml:space="preserve"> ESTADO DE YUCATÁN.</w:t>
      </w:r>
    </w:p>
    <w:p w:rsidR="00CE34AD" w:rsidRDefault="00B275C5">
      <w:pPr>
        <w:ind w:firstLine="709"/>
        <w:jc w:val="both"/>
        <w:rPr>
          <w:rFonts w:ascii="Arial" w:eastAsia="Arial" w:hAnsi="Arial" w:cs="Arial"/>
        </w:rPr>
      </w:pPr>
      <w:r>
        <w:rPr>
          <w:rFonts w:ascii="Arial" w:eastAsia="Arial" w:hAnsi="Arial" w:cs="Arial"/>
        </w:rPr>
        <w:t>El Honorable Congreso del Estado de Yucatán, se asume competente atento a la resolución de fecha 24 de julio del año 2021, pues como se ha mencionado el punto resolutivo segundo de la referida sentencia, expresamente otorga a la sexagés</w:t>
      </w:r>
      <w:r>
        <w:rPr>
          <w:rFonts w:ascii="Arial" w:eastAsia="Arial" w:hAnsi="Arial" w:cs="Arial"/>
        </w:rPr>
        <w:t>ima segunda legislatura la competencia para aplicar la sanción correspondiente, mismo que se transcribe a continuación:</w:t>
      </w:r>
    </w:p>
    <w:p w:rsidR="00CE34AD" w:rsidRDefault="00CE34AD">
      <w:pPr>
        <w:jc w:val="both"/>
        <w:rPr>
          <w:rFonts w:ascii="Arial" w:eastAsia="Arial" w:hAnsi="Arial" w:cs="Arial"/>
        </w:rPr>
      </w:pPr>
    </w:p>
    <w:p w:rsidR="00CE34AD" w:rsidRDefault="00B275C5">
      <w:pPr>
        <w:ind w:left="709" w:right="333"/>
        <w:jc w:val="both"/>
        <w:rPr>
          <w:rFonts w:ascii="Arial" w:eastAsia="Arial" w:hAnsi="Arial" w:cs="Arial"/>
          <w:i/>
        </w:rPr>
      </w:pPr>
      <w:r>
        <w:rPr>
          <w:rFonts w:ascii="Arial" w:eastAsia="Arial" w:hAnsi="Arial" w:cs="Arial"/>
          <w:i/>
        </w:rPr>
        <w:t>“</w:t>
      </w:r>
      <w:r>
        <w:rPr>
          <w:rFonts w:ascii="Arial" w:eastAsia="Arial" w:hAnsi="Arial" w:cs="Arial"/>
          <w:b/>
          <w:i/>
        </w:rPr>
        <w:t>SEGUNDO</w:t>
      </w:r>
      <w:r>
        <w:rPr>
          <w:rFonts w:ascii="Arial" w:eastAsia="Arial" w:hAnsi="Arial" w:cs="Arial"/>
          <w:i/>
        </w:rPr>
        <w:t xml:space="preserve">. </w:t>
      </w:r>
      <w:r>
        <w:rPr>
          <w:rFonts w:ascii="Arial" w:eastAsia="Arial" w:hAnsi="Arial" w:cs="Arial"/>
          <w:b/>
          <w:i/>
        </w:rPr>
        <w:t xml:space="preserve">Dese vista </w:t>
      </w:r>
      <w:r>
        <w:rPr>
          <w:rFonts w:ascii="Arial" w:eastAsia="Arial" w:hAnsi="Arial" w:cs="Arial"/>
          <w:i/>
        </w:rPr>
        <w:t xml:space="preserve">con copia certificada de la presente resolución, </w:t>
      </w:r>
      <w:r>
        <w:rPr>
          <w:rFonts w:ascii="Arial" w:eastAsia="Arial" w:hAnsi="Arial" w:cs="Arial"/>
          <w:b/>
          <w:i/>
        </w:rPr>
        <w:t>a la LXII legislatura del H. Congreso del Estado de Yucatán, para</w:t>
      </w:r>
      <w:r>
        <w:rPr>
          <w:rFonts w:ascii="Arial" w:eastAsia="Arial" w:hAnsi="Arial" w:cs="Arial"/>
          <w:b/>
          <w:i/>
        </w:rPr>
        <w:t xml:space="preserve"> que en términos de su competencia determine la sanción correspondiente</w:t>
      </w:r>
      <w:r>
        <w:rPr>
          <w:rFonts w:ascii="Arial" w:eastAsia="Arial" w:hAnsi="Arial" w:cs="Arial"/>
          <w:i/>
        </w:rPr>
        <w:t xml:space="preserve"> al ciudadano Mauricio Vila Dosal, Gobernador del Estado de Yucatán, en relación a lo resuelto en la presente sentencia”.</w:t>
      </w:r>
    </w:p>
    <w:p w:rsidR="00CE34AD" w:rsidRDefault="00CE34AD">
      <w:pPr>
        <w:ind w:left="709" w:right="333" w:firstLine="709"/>
        <w:jc w:val="both"/>
        <w:rPr>
          <w:rFonts w:ascii="Arial" w:eastAsia="Arial" w:hAnsi="Arial" w:cs="Arial"/>
          <w:i/>
        </w:rPr>
      </w:pPr>
    </w:p>
    <w:p w:rsidR="00CE34AD" w:rsidRDefault="00B275C5">
      <w:pPr>
        <w:ind w:firstLine="709"/>
        <w:jc w:val="both"/>
        <w:rPr>
          <w:rFonts w:ascii="Arial" w:eastAsia="Arial" w:hAnsi="Arial" w:cs="Arial"/>
          <w:u w:val="single"/>
        </w:rPr>
      </w:pPr>
      <w:r>
        <w:rPr>
          <w:rFonts w:ascii="Arial" w:eastAsia="Arial" w:hAnsi="Arial" w:cs="Arial"/>
        </w:rPr>
        <w:t>Lo anterior, ya que la Ley de Instituciones y Procedimientos E</w:t>
      </w:r>
      <w:r>
        <w:rPr>
          <w:rFonts w:ascii="Arial" w:eastAsia="Arial" w:hAnsi="Arial" w:cs="Arial"/>
        </w:rPr>
        <w:t xml:space="preserve">lectorales del Estado de Yucatán </w:t>
      </w:r>
      <w:r>
        <w:rPr>
          <w:rFonts w:ascii="Arial" w:eastAsia="Arial" w:hAnsi="Arial" w:cs="Arial"/>
          <w:u w:val="single"/>
        </w:rPr>
        <w:t xml:space="preserve">NO contempla atribuciones al Pleno del Tribunal Electoral para determinar sanciones a los servidores públicos, en este caso, al Gobernador del Estado. </w:t>
      </w:r>
    </w:p>
    <w:p w:rsidR="00CE34AD" w:rsidRDefault="00CE34AD">
      <w:pPr>
        <w:ind w:firstLine="709"/>
        <w:jc w:val="both"/>
        <w:rPr>
          <w:rFonts w:ascii="Arial" w:eastAsia="Arial" w:hAnsi="Arial" w:cs="Arial"/>
          <w:u w:val="single"/>
        </w:rPr>
      </w:pPr>
    </w:p>
    <w:p w:rsidR="00CE34AD" w:rsidRDefault="00B275C5">
      <w:pPr>
        <w:ind w:firstLine="709"/>
        <w:jc w:val="both"/>
        <w:rPr>
          <w:rFonts w:ascii="Arial" w:eastAsia="Arial" w:hAnsi="Arial" w:cs="Arial"/>
        </w:rPr>
      </w:pPr>
      <w:r>
        <w:rPr>
          <w:rFonts w:ascii="Arial" w:eastAsia="Arial" w:hAnsi="Arial" w:cs="Arial"/>
        </w:rPr>
        <w:t xml:space="preserve">No obstante, el propio TEEY señala el numeral 389 de la citada ley electoral estatal, con la cual fundamenta la posibilidad de </w:t>
      </w:r>
      <w:r>
        <w:rPr>
          <w:rFonts w:ascii="Arial" w:eastAsia="Arial" w:hAnsi="Arial" w:cs="Arial"/>
          <w:u w:val="single"/>
        </w:rPr>
        <w:t>dar vista al superior jerárquico</w:t>
      </w:r>
      <w:r>
        <w:rPr>
          <w:rFonts w:ascii="Arial" w:eastAsia="Arial" w:hAnsi="Arial" w:cs="Arial"/>
        </w:rPr>
        <w:t xml:space="preserve"> de las autoridades federales, estatales o municipales para determinar una sanción. </w:t>
      </w:r>
    </w:p>
    <w:p w:rsidR="00CE34AD" w:rsidRDefault="00CE34AD">
      <w:pPr>
        <w:jc w:val="both"/>
        <w:rPr>
          <w:rFonts w:ascii="Arial" w:eastAsia="Arial" w:hAnsi="Arial" w:cs="Arial"/>
          <w:u w:val="single"/>
        </w:rPr>
      </w:pPr>
    </w:p>
    <w:p w:rsidR="00CE34AD" w:rsidRDefault="00B275C5">
      <w:pPr>
        <w:ind w:left="426" w:right="758"/>
        <w:jc w:val="both"/>
        <w:rPr>
          <w:rFonts w:ascii="Arial" w:eastAsia="Arial" w:hAnsi="Arial" w:cs="Arial"/>
          <w:i/>
        </w:rPr>
      </w:pPr>
      <w:r>
        <w:rPr>
          <w:rFonts w:ascii="Arial" w:eastAsia="Arial" w:hAnsi="Arial" w:cs="Arial"/>
          <w:i/>
        </w:rPr>
        <w:t>“Artículo 3</w:t>
      </w:r>
      <w:r>
        <w:rPr>
          <w:rFonts w:ascii="Arial" w:eastAsia="Arial" w:hAnsi="Arial" w:cs="Arial"/>
          <w:i/>
        </w:rPr>
        <w:t>89. Cuando las autoridades federales, estatales o municipales cometan alguna infracción prevista en esta Ley, incumplan los mandatos de la autoridad electoral, no proporcionen en tiempo y forma la información que les sea solicitada, o no presten el auxilio</w:t>
      </w:r>
      <w:r>
        <w:rPr>
          <w:rFonts w:ascii="Arial" w:eastAsia="Arial" w:hAnsi="Arial" w:cs="Arial"/>
          <w:i/>
        </w:rPr>
        <w:t xml:space="preserve"> y colaboración que les sea requerida por los órganos del Instituto, </w:t>
      </w:r>
      <w:r>
        <w:rPr>
          <w:rFonts w:ascii="Arial" w:eastAsia="Arial" w:hAnsi="Arial" w:cs="Arial"/>
          <w:i/>
          <w:u w:val="single"/>
        </w:rPr>
        <w:t xml:space="preserve">se dará vista al superior jerárquico </w:t>
      </w:r>
      <w:r>
        <w:rPr>
          <w:rFonts w:ascii="Arial" w:eastAsia="Arial" w:hAnsi="Arial" w:cs="Arial"/>
          <w:i/>
        </w:rPr>
        <w:t xml:space="preserve">y, en su caso, presentará la queja ante la autoridad </w:t>
      </w:r>
      <w:r>
        <w:rPr>
          <w:rFonts w:ascii="Arial" w:eastAsia="Arial" w:hAnsi="Arial" w:cs="Arial"/>
          <w:i/>
        </w:rPr>
        <w:lastRenderedPageBreak/>
        <w:t>competente por hechos que pudieran constituir responsabilidades administrativas o las denuncias o</w:t>
      </w:r>
      <w:r>
        <w:rPr>
          <w:rFonts w:ascii="Arial" w:eastAsia="Arial" w:hAnsi="Arial" w:cs="Arial"/>
          <w:i/>
        </w:rPr>
        <w:t xml:space="preserve"> querellas ante el agente del Ministerio Público que deba conocer de ellas, a fin de que se proceda en los términos de las leyes aplicables”.</w:t>
      </w:r>
    </w:p>
    <w:p w:rsidR="00CE34AD" w:rsidRDefault="00CE34AD">
      <w:pPr>
        <w:ind w:left="426" w:right="758"/>
        <w:jc w:val="both"/>
        <w:rPr>
          <w:rFonts w:ascii="Arial" w:eastAsia="Arial" w:hAnsi="Arial" w:cs="Arial"/>
          <w:i/>
          <w:sz w:val="18"/>
          <w:szCs w:val="18"/>
        </w:rPr>
      </w:pPr>
    </w:p>
    <w:p w:rsidR="00CE34AD" w:rsidRDefault="00B275C5">
      <w:pPr>
        <w:ind w:firstLine="709"/>
        <w:jc w:val="both"/>
        <w:rPr>
          <w:rFonts w:ascii="Arial" w:eastAsia="Arial" w:hAnsi="Arial" w:cs="Arial"/>
        </w:rPr>
      </w:pPr>
      <w:r>
        <w:rPr>
          <w:rFonts w:ascii="Arial" w:eastAsia="Arial" w:hAnsi="Arial" w:cs="Arial"/>
        </w:rPr>
        <w:t>Bajo este contexto, en el caso que nos ocupa, si bien el titular del Poder Ejecutivo Estatal orgánicamente no dep</w:t>
      </w:r>
      <w:r>
        <w:rPr>
          <w:rFonts w:ascii="Arial" w:eastAsia="Arial" w:hAnsi="Arial" w:cs="Arial"/>
        </w:rPr>
        <w:t xml:space="preserve">ende del Poder Legislativo, sí se posibilita la aplicación de las sanciones correspondientes por parte del Congreso Estatal, pues tal como se fundó en la resolución que se cumplimenta, es aplicado el criterio jurisprudencial </w:t>
      </w:r>
      <w:r>
        <w:rPr>
          <w:rFonts w:ascii="Arial" w:eastAsia="Arial" w:hAnsi="Arial" w:cs="Arial"/>
          <w:b/>
          <w:i/>
        </w:rPr>
        <w:t>TESIS XX/2016,</w:t>
      </w:r>
      <w:r>
        <w:rPr>
          <w:rFonts w:ascii="Arial" w:eastAsia="Arial" w:hAnsi="Arial" w:cs="Arial"/>
          <w:b/>
          <w:i/>
          <w:vertAlign w:val="superscript"/>
        </w:rPr>
        <w:footnoteReference w:id="1"/>
      </w:r>
      <w:r>
        <w:rPr>
          <w:rFonts w:ascii="Arial" w:eastAsia="Arial" w:hAnsi="Arial" w:cs="Arial"/>
          <w:b/>
          <w:i/>
        </w:rPr>
        <w:t xml:space="preserve"> </w:t>
      </w:r>
      <w:r>
        <w:rPr>
          <w:rFonts w:ascii="Arial" w:eastAsia="Arial" w:hAnsi="Arial" w:cs="Arial"/>
        </w:rPr>
        <w:t>la cual expresa</w:t>
      </w:r>
      <w:r>
        <w:rPr>
          <w:rFonts w:ascii="Arial" w:eastAsia="Arial" w:hAnsi="Arial" w:cs="Arial"/>
        </w:rPr>
        <w:t xml:space="preserve"> lo siguiente:</w:t>
      </w:r>
    </w:p>
    <w:p w:rsidR="00CE34AD" w:rsidRDefault="00CE34AD">
      <w:pPr>
        <w:ind w:firstLine="709"/>
        <w:jc w:val="both"/>
        <w:rPr>
          <w:rFonts w:ascii="Arial" w:eastAsia="Arial" w:hAnsi="Arial" w:cs="Arial"/>
        </w:rPr>
      </w:pPr>
    </w:p>
    <w:p w:rsidR="00CE34AD" w:rsidRDefault="00B275C5">
      <w:pPr>
        <w:pBdr>
          <w:top w:val="nil"/>
          <w:left w:val="nil"/>
          <w:bottom w:val="nil"/>
          <w:right w:val="nil"/>
          <w:between w:val="nil"/>
        </w:pBdr>
        <w:shd w:val="clear" w:color="auto" w:fill="FFFFFF"/>
        <w:jc w:val="both"/>
        <w:rPr>
          <w:rFonts w:ascii="Arial" w:eastAsia="Arial" w:hAnsi="Arial" w:cs="Arial"/>
          <w:b/>
          <w:i/>
          <w:color w:val="000000"/>
        </w:rPr>
      </w:pPr>
      <w:r>
        <w:rPr>
          <w:rFonts w:ascii="Arial" w:eastAsia="Arial" w:hAnsi="Arial" w:cs="Arial"/>
          <w:b/>
          <w:i/>
          <w:color w:val="000000"/>
        </w:rPr>
        <w:t>RÉGIMEN ADMINISTRATIVO SANCIONADOR ELECTORAL. CORRESPONDE A LOS CONGRESOS DE LOS ESTADOS IMPONER LAS SANCIONES RESPECTO DE CONDUCTAS DE SERVIDORES PÚBLICOS SIN SUPERIOR JERÁRQUICO, CONTRARIAS AL ORDEN JURÍDICO.</w:t>
      </w:r>
    </w:p>
    <w:p w:rsidR="00CE34AD" w:rsidRDefault="00B275C5">
      <w:pPr>
        <w:jc w:val="both"/>
        <w:rPr>
          <w:rFonts w:ascii="Arial" w:eastAsia="Arial" w:hAnsi="Arial" w:cs="Arial"/>
          <w:i/>
          <w:sz w:val="20"/>
          <w:szCs w:val="20"/>
        </w:rPr>
      </w:pPr>
      <w:r>
        <w:rPr>
          <w:rFonts w:ascii="Arial" w:eastAsia="Arial" w:hAnsi="Arial" w:cs="Arial"/>
          <w:i/>
          <w:sz w:val="20"/>
          <w:szCs w:val="20"/>
        </w:rPr>
        <w:t>De una interpretación sistemática, teleológica y funcional de lo establecido en los artículos 41, Bases III, Apartado C, párrafo segundo, y IV, párrafo tercero; 116, y 128, de la Constitución Política de los Estados Unidos Mexicanos, así como 442, apartado</w:t>
      </w:r>
      <w:r>
        <w:rPr>
          <w:rFonts w:ascii="Arial" w:eastAsia="Arial" w:hAnsi="Arial" w:cs="Arial"/>
          <w:i/>
          <w:sz w:val="20"/>
          <w:szCs w:val="20"/>
        </w:rPr>
        <w:t xml:space="preserve"> 1, inciso f); 449, párrafo 1, y 457, de la Ley General de Instituciones y Procedimientos Electorales, conduce a estimar que, ante la ausencia de normas específicas</w:t>
      </w:r>
      <w:r>
        <w:rPr>
          <w:rFonts w:ascii="Arial" w:eastAsia="Arial" w:hAnsi="Arial" w:cs="Arial"/>
          <w:b/>
          <w:i/>
          <w:sz w:val="20"/>
          <w:szCs w:val="20"/>
        </w:rPr>
        <w:t>, los congresos de las entidades federativas son los órganos competentes del Estado,</w:t>
      </w:r>
      <w:r>
        <w:rPr>
          <w:rFonts w:ascii="Arial" w:eastAsia="Arial" w:hAnsi="Arial" w:cs="Arial"/>
          <w:b/>
          <w:i/>
          <w:sz w:val="20"/>
          <w:szCs w:val="20"/>
          <w:u w:val="single"/>
        </w:rPr>
        <w:t xml:space="preserve"> con bas</w:t>
      </w:r>
      <w:r>
        <w:rPr>
          <w:rFonts w:ascii="Arial" w:eastAsia="Arial" w:hAnsi="Arial" w:cs="Arial"/>
          <w:b/>
          <w:i/>
          <w:sz w:val="20"/>
          <w:szCs w:val="20"/>
          <w:u w:val="single"/>
        </w:rPr>
        <w:t xml:space="preserve">e en sus atribuciones constitucionales y legales, </w:t>
      </w:r>
      <w:r>
        <w:rPr>
          <w:rFonts w:ascii="Arial" w:eastAsia="Arial" w:hAnsi="Arial" w:cs="Arial"/>
          <w:b/>
          <w:i/>
          <w:sz w:val="20"/>
          <w:szCs w:val="20"/>
        </w:rPr>
        <w:t>para sancionar a servidores públicos sin superior jerárquico por la realización de conductas que la autoridad jurisdiccional determinó contrarias al orden jurídico en la materia electoral, con independencia</w:t>
      </w:r>
      <w:r>
        <w:rPr>
          <w:rFonts w:ascii="Arial" w:eastAsia="Arial" w:hAnsi="Arial" w:cs="Arial"/>
          <w:b/>
          <w:i/>
          <w:sz w:val="20"/>
          <w:szCs w:val="20"/>
        </w:rPr>
        <w:t xml:space="preserve"> de que ello pudiese eventualmente generar otro tipo de responsabilidades</w:t>
      </w:r>
      <w:r>
        <w:rPr>
          <w:rFonts w:ascii="Arial" w:eastAsia="Arial" w:hAnsi="Arial" w:cs="Arial"/>
          <w:b/>
          <w:i/>
          <w:sz w:val="20"/>
          <w:szCs w:val="20"/>
          <w:u w:val="single"/>
        </w:rPr>
        <w:t>.</w:t>
      </w:r>
      <w:r>
        <w:rPr>
          <w:rFonts w:ascii="Arial" w:eastAsia="Arial" w:hAnsi="Arial" w:cs="Arial"/>
          <w:i/>
          <w:sz w:val="20"/>
          <w:szCs w:val="20"/>
        </w:rPr>
        <w:t xml:space="preserve"> Por ende, para hacer efectivo y funcional el régimen administrativo sancionador electoral, resulta procedente que las autoridades electorales jurisdiccionales hagan del conocimiento</w:t>
      </w:r>
      <w:r>
        <w:rPr>
          <w:rFonts w:ascii="Arial" w:eastAsia="Arial" w:hAnsi="Arial" w:cs="Arial"/>
          <w:i/>
          <w:sz w:val="20"/>
          <w:szCs w:val="20"/>
        </w:rPr>
        <w:t xml:space="preserve"> de los congresos tales determinaciones para que impongan las sanciones correspondientes. Lo anterior, a fin de hacer efectivo el sistema punitivo en que se basa el derecho sancionador electoral y, por ende, para proporcionarle una adecuada funcionalidad.</w:t>
      </w:r>
    </w:p>
    <w:p w:rsidR="00CE34AD" w:rsidRDefault="00CE34AD">
      <w:pPr>
        <w:jc w:val="both"/>
        <w:rPr>
          <w:rFonts w:ascii="Arial" w:eastAsia="Arial" w:hAnsi="Arial" w:cs="Arial"/>
          <w:i/>
          <w:sz w:val="20"/>
          <w:szCs w:val="20"/>
        </w:rPr>
      </w:pPr>
    </w:p>
    <w:p w:rsidR="00CE34AD" w:rsidRDefault="00CE34AD">
      <w:pPr>
        <w:jc w:val="both"/>
        <w:rPr>
          <w:rFonts w:ascii="Arial" w:eastAsia="Arial" w:hAnsi="Arial" w:cs="Arial"/>
          <w:i/>
          <w:sz w:val="20"/>
          <w:szCs w:val="20"/>
        </w:rPr>
      </w:pPr>
    </w:p>
    <w:p w:rsidR="00CE34AD" w:rsidRDefault="00B275C5">
      <w:pPr>
        <w:shd w:val="clear" w:color="auto" w:fill="FFFFFF"/>
        <w:jc w:val="both"/>
        <w:rPr>
          <w:rFonts w:ascii="Arial" w:eastAsia="Arial" w:hAnsi="Arial" w:cs="Arial"/>
          <w:i/>
          <w:sz w:val="22"/>
          <w:szCs w:val="22"/>
        </w:rPr>
      </w:pPr>
      <w:r>
        <w:rPr>
          <w:rFonts w:ascii="Arial" w:eastAsia="Arial" w:hAnsi="Arial" w:cs="Arial"/>
          <w:i/>
          <w:sz w:val="22"/>
          <w:szCs w:val="22"/>
        </w:rPr>
        <w:t xml:space="preserve">Quinta Época: </w:t>
      </w:r>
    </w:p>
    <w:p w:rsidR="00CE34AD" w:rsidRDefault="00CE34AD">
      <w:pPr>
        <w:shd w:val="clear" w:color="auto" w:fill="FFFFFF"/>
        <w:jc w:val="both"/>
        <w:rPr>
          <w:rFonts w:ascii="Arial" w:eastAsia="Arial" w:hAnsi="Arial" w:cs="Arial"/>
          <w:sz w:val="22"/>
          <w:szCs w:val="22"/>
        </w:rPr>
      </w:pPr>
    </w:p>
    <w:p w:rsidR="00CE34AD" w:rsidRDefault="00B275C5">
      <w:pPr>
        <w:shd w:val="clear" w:color="auto" w:fill="FFFFFF"/>
        <w:jc w:val="both"/>
        <w:rPr>
          <w:rFonts w:ascii="Arial" w:eastAsia="Arial" w:hAnsi="Arial" w:cs="Arial"/>
          <w:i/>
          <w:sz w:val="20"/>
          <w:szCs w:val="20"/>
        </w:rPr>
      </w:pPr>
      <w:r>
        <w:rPr>
          <w:rFonts w:ascii="Arial" w:eastAsia="Arial" w:hAnsi="Arial" w:cs="Arial"/>
          <w:i/>
          <w:sz w:val="20"/>
          <w:szCs w:val="20"/>
        </w:rPr>
        <w:t>Recursos de revisión del procedimiento especial sancionador. </w:t>
      </w:r>
      <w:hyperlink r:id="rId7">
        <w:r>
          <w:rPr>
            <w:rFonts w:ascii="Arial" w:eastAsia="Arial" w:hAnsi="Arial" w:cs="Arial"/>
            <w:sz w:val="20"/>
            <w:szCs w:val="20"/>
          </w:rPr>
          <w:t>SUP-REP-102/2015</w:t>
        </w:r>
      </w:hyperlink>
      <w:r>
        <w:rPr>
          <w:rFonts w:ascii="Arial" w:eastAsia="Arial" w:hAnsi="Arial" w:cs="Arial"/>
          <w:i/>
          <w:sz w:val="20"/>
          <w:szCs w:val="20"/>
        </w:rPr>
        <w:t> y acumulados.—Recurrentes: Gobernador del Estado de T</w:t>
      </w:r>
      <w:r>
        <w:rPr>
          <w:rFonts w:ascii="Arial" w:eastAsia="Arial" w:hAnsi="Arial" w:cs="Arial"/>
          <w:i/>
          <w:sz w:val="20"/>
          <w:szCs w:val="20"/>
        </w:rPr>
        <w:t>laxcala y otros.—Autoridad responsable: Sala Regional Especializada del Tribunal Electoral del Poder Judicial de la Federación.—16 de abril de 2015.—Unanimidad de votos, con el voto concurrente de la Magistrada María del Carmen Alanis Figueroa.—Ponente: Sa</w:t>
      </w:r>
      <w:r>
        <w:rPr>
          <w:rFonts w:ascii="Arial" w:eastAsia="Arial" w:hAnsi="Arial" w:cs="Arial"/>
          <w:i/>
          <w:sz w:val="20"/>
          <w:szCs w:val="20"/>
        </w:rPr>
        <w:t>lvador Olimpo Nava Gomar.—Secretarios: Javier Miguel Ortiz Flores y Agustín José Sáenz Negrete.</w:t>
      </w:r>
    </w:p>
    <w:p w:rsidR="00CE34AD" w:rsidRDefault="00CE34AD">
      <w:pPr>
        <w:shd w:val="clear" w:color="auto" w:fill="FFFFFF"/>
        <w:jc w:val="both"/>
        <w:rPr>
          <w:rFonts w:ascii="Arial" w:eastAsia="Arial" w:hAnsi="Arial" w:cs="Arial"/>
          <w:i/>
          <w:sz w:val="20"/>
          <w:szCs w:val="20"/>
        </w:rPr>
      </w:pPr>
    </w:p>
    <w:p w:rsidR="00CE34AD" w:rsidRDefault="00B275C5">
      <w:pPr>
        <w:shd w:val="clear" w:color="auto" w:fill="FFFFFF"/>
        <w:ind w:firstLine="720"/>
        <w:jc w:val="both"/>
        <w:rPr>
          <w:rFonts w:ascii="Arial" w:eastAsia="Arial" w:hAnsi="Arial" w:cs="Arial"/>
        </w:rPr>
      </w:pPr>
      <w:r>
        <w:rPr>
          <w:rFonts w:ascii="Arial" w:eastAsia="Arial" w:hAnsi="Arial" w:cs="Arial"/>
        </w:rPr>
        <w:t>Por tal motivo, es procedente invocar el sustento normativo constitucional local en donde se prevea las atribuciones de esta Soberanía para la determinación de</w:t>
      </w:r>
      <w:r>
        <w:rPr>
          <w:rFonts w:ascii="Arial" w:eastAsia="Arial" w:hAnsi="Arial" w:cs="Arial"/>
        </w:rPr>
        <w:t xml:space="preserve"> sanciones a los particulares y a los servidores públicos que incurran en responsabilidades cometidas en sus funciones, incluso tomando en consideración </w:t>
      </w:r>
      <w:r>
        <w:rPr>
          <w:rFonts w:ascii="Arial" w:eastAsia="Arial" w:hAnsi="Arial" w:cs="Arial"/>
        </w:rPr>
        <w:lastRenderedPageBreak/>
        <w:t xml:space="preserve">la referencia expresa la supletoriedad del artículo 416 de la ley electoral previamente citada. </w:t>
      </w:r>
    </w:p>
    <w:p w:rsidR="00CE34AD" w:rsidRDefault="00CE34AD">
      <w:pPr>
        <w:jc w:val="both"/>
        <w:rPr>
          <w:rFonts w:ascii="Arial" w:eastAsia="Arial" w:hAnsi="Arial" w:cs="Arial"/>
        </w:rPr>
      </w:pPr>
    </w:p>
    <w:p w:rsidR="00CE34AD" w:rsidRDefault="00B275C5">
      <w:pPr>
        <w:numPr>
          <w:ilvl w:val="0"/>
          <w:numId w:val="3"/>
        </w:numPr>
        <w:pBdr>
          <w:top w:val="nil"/>
          <w:left w:val="nil"/>
          <w:bottom w:val="nil"/>
          <w:right w:val="nil"/>
          <w:between w:val="nil"/>
        </w:pBdr>
        <w:spacing w:after="160" w:line="259" w:lineRule="auto"/>
        <w:jc w:val="both"/>
        <w:rPr>
          <w:rFonts w:ascii="Arial" w:eastAsia="Arial" w:hAnsi="Arial" w:cs="Arial"/>
          <w:i/>
        </w:rPr>
      </w:pPr>
      <w:r>
        <w:rPr>
          <w:rFonts w:ascii="Arial" w:eastAsia="Arial" w:hAnsi="Arial" w:cs="Arial"/>
          <w:i/>
        </w:rPr>
        <w:t xml:space="preserve">Constitución del Estado de Yucatán. </w:t>
      </w:r>
    </w:p>
    <w:p w:rsidR="00CE34AD" w:rsidRDefault="00B275C5">
      <w:pPr>
        <w:ind w:firstLine="709"/>
        <w:jc w:val="both"/>
        <w:rPr>
          <w:rFonts w:ascii="Arial" w:eastAsia="Arial" w:hAnsi="Arial" w:cs="Arial"/>
        </w:rPr>
      </w:pPr>
      <w:r>
        <w:rPr>
          <w:rFonts w:ascii="Arial" w:eastAsia="Arial" w:hAnsi="Arial" w:cs="Arial"/>
        </w:rPr>
        <w:t>Por lo que respecta a la Constitución Política del Estado de Yucatán, es necesario citar el numeral que contempla a quienes se les considera como servidores públicos para la aplicación de sanciones. De ahí que, el prime</w:t>
      </w:r>
      <w:r>
        <w:rPr>
          <w:rFonts w:ascii="Arial" w:eastAsia="Arial" w:hAnsi="Arial" w:cs="Arial"/>
        </w:rPr>
        <w:t xml:space="preserve">r párrafo del </w:t>
      </w:r>
      <w:r>
        <w:rPr>
          <w:rFonts w:ascii="Arial" w:eastAsia="Arial" w:hAnsi="Arial" w:cs="Arial"/>
          <w:u w:val="single"/>
        </w:rPr>
        <w:t>artículo 97 de la citada carta magna local</w:t>
      </w:r>
      <w:r>
        <w:rPr>
          <w:rFonts w:ascii="Arial" w:eastAsia="Arial" w:hAnsi="Arial" w:cs="Arial"/>
        </w:rPr>
        <w:t xml:space="preserve"> defina a quienes se les considera servidores públicos, a saber: </w:t>
      </w:r>
    </w:p>
    <w:p w:rsidR="00CE34AD" w:rsidRDefault="00CE34AD">
      <w:pPr>
        <w:jc w:val="both"/>
        <w:rPr>
          <w:rFonts w:ascii="Arial" w:eastAsia="Arial" w:hAnsi="Arial" w:cs="Arial"/>
        </w:rPr>
      </w:pPr>
    </w:p>
    <w:p w:rsidR="00CE34AD" w:rsidRDefault="00B275C5">
      <w:pPr>
        <w:ind w:left="567" w:right="474"/>
        <w:jc w:val="both"/>
        <w:rPr>
          <w:rFonts w:ascii="Arial" w:eastAsia="Arial" w:hAnsi="Arial" w:cs="Arial"/>
          <w:i/>
        </w:rPr>
      </w:pPr>
      <w:r>
        <w:rPr>
          <w:rFonts w:ascii="Arial" w:eastAsia="Arial" w:hAnsi="Arial" w:cs="Arial"/>
          <w:b/>
          <w:i/>
        </w:rPr>
        <w:t xml:space="preserve">“Artículo 97.- </w:t>
      </w:r>
      <w:r>
        <w:rPr>
          <w:rFonts w:ascii="Arial" w:eastAsia="Arial" w:hAnsi="Arial" w:cs="Arial"/>
          <w:i/>
        </w:rPr>
        <w:t>Para los efectos de las responsabilidades a que alude este título se reputarán como servidores públicos a los representantes de elección popular, a los miembros del Poder Judicial del Estado, los funcionarios y empleados y, en general, a toda persona que d</w:t>
      </w:r>
      <w:r>
        <w:rPr>
          <w:rFonts w:ascii="Arial" w:eastAsia="Arial" w:hAnsi="Arial" w:cs="Arial"/>
          <w:i/>
        </w:rPr>
        <w:t>esempeñe un empleo, cargo o comisión de cualquier naturaleza en el Congreso del Estado o en la Administración Pública estatal o municipal, así como a los servidores públicos de los organismos a los que esta Constitución otorgue autonomía, quienes serán res</w:t>
      </w:r>
      <w:r>
        <w:rPr>
          <w:rFonts w:ascii="Arial" w:eastAsia="Arial" w:hAnsi="Arial" w:cs="Arial"/>
          <w:i/>
        </w:rPr>
        <w:t>ponsables por los actos u omisiones en que incurran en el desempeño de sus respectivas funciones”.</w:t>
      </w:r>
    </w:p>
    <w:p w:rsidR="00CE34AD" w:rsidRDefault="00CE34AD">
      <w:pPr>
        <w:ind w:left="567" w:right="474"/>
        <w:jc w:val="both"/>
        <w:rPr>
          <w:rFonts w:ascii="Arial" w:eastAsia="Arial" w:hAnsi="Arial" w:cs="Arial"/>
          <w:i/>
          <w:sz w:val="18"/>
          <w:szCs w:val="18"/>
        </w:rPr>
      </w:pPr>
    </w:p>
    <w:p w:rsidR="00CE34AD" w:rsidRDefault="00B275C5">
      <w:pPr>
        <w:ind w:firstLine="709"/>
        <w:jc w:val="both"/>
        <w:rPr>
          <w:rFonts w:ascii="Arial" w:eastAsia="Arial" w:hAnsi="Arial" w:cs="Arial"/>
        </w:rPr>
      </w:pPr>
      <w:r>
        <w:rPr>
          <w:rFonts w:ascii="Arial" w:eastAsia="Arial" w:hAnsi="Arial" w:cs="Arial"/>
        </w:rPr>
        <w:t>Por lo que, con base al artículo referido, el Titular del Poder Ejecutivo, es decir, el C. Mauricio Vila Dosal, es considerado un servidor público emanado d</w:t>
      </w:r>
      <w:r>
        <w:rPr>
          <w:rFonts w:ascii="Arial" w:eastAsia="Arial" w:hAnsi="Arial" w:cs="Arial"/>
        </w:rPr>
        <w:t xml:space="preserve">e una elección popular, por tanto, es sujeto de responsabilidad por los actos u omisiones cometidas en el desempeño de sus funciones. </w:t>
      </w:r>
    </w:p>
    <w:p w:rsidR="00CE34AD" w:rsidRDefault="00CE34AD">
      <w:pPr>
        <w:ind w:firstLine="709"/>
        <w:jc w:val="both"/>
        <w:rPr>
          <w:rFonts w:ascii="Arial" w:eastAsia="Arial" w:hAnsi="Arial" w:cs="Arial"/>
        </w:rPr>
      </w:pPr>
    </w:p>
    <w:p w:rsidR="00CE34AD" w:rsidRDefault="00B275C5">
      <w:pPr>
        <w:ind w:firstLine="709"/>
        <w:jc w:val="both"/>
        <w:rPr>
          <w:rFonts w:ascii="Arial" w:eastAsia="Arial" w:hAnsi="Arial" w:cs="Arial"/>
        </w:rPr>
      </w:pPr>
      <w:r>
        <w:rPr>
          <w:rFonts w:ascii="Arial" w:eastAsia="Arial" w:hAnsi="Arial" w:cs="Arial"/>
        </w:rPr>
        <w:t>Ahora bien, y en términos de lo resuelto por el Tribunal Electoral del Estado de Yucatán, el Gobernador incurrió en infr</w:t>
      </w:r>
      <w:r>
        <w:rPr>
          <w:rFonts w:ascii="Arial" w:eastAsia="Arial" w:hAnsi="Arial" w:cs="Arial"/>
        </w:rPr>
        <w:t xml:space="preserve">acciones previstas en la ley electoral, según se desprende de la misma. </w:t>
      </w:r>
    </w:p>
    <w:p w:rsidR="00CE34AD" w:rsidRDefault="00CE34AD">
      <w:pPr>
        <w:ind w:firstLine="709"/>
        <w:jc w:val="both"/>
        <w:rPr>
          <w:rFonts w:ascii="Arial" w:eastAsia="Arial" w:hAnsi="Arial" w:cs="Arial"/>
        </w:rPr>
      </w:pPr>
    </w:p>
    <w:p w:rsidR="00CE34AD" w:rsidRDefault="00B275C5">
      <w:pPr>
        <w:ind w:firstLine="709"/>
        <w:jc w:val="both"/>
        <w:rPr>
          <w:rFonts w:ascii="Arial" w:eastAsia="Arial" w:hAnsi="Arial" w:cs="Arial"/>
        </w:rPr>
      </w:pPr>
      <w:r>
        <w:rPr>
          <w:rFonts w:ascii="Arial" w:eastAsia="Arial" w:hAnsi="Arial" w:cs="Arial"/>
        </w:rPr>
        <w:t>De ahí que resulte hacer mención del marco constitucional en la materia administrativa, que en el caso lo es el artículo 98, fracción III de la Constitución Política del Estado de Yu</w:t>
      </w:r>
      <w:r>
        <w:rPr>
          <w:rFonts w:ascii="Arial" w:eastAsia="Arial" w:hAnsi="Arial" w:cs="Arial"/>
        </w:rPr>
        <w:t>catán, el cual expresa lo siguiente:</w:t>
      </w:r>
    </w:p>
    <w:p w:rsidR="00CE34AD" w:rsidRDefault="00CE34AD">
      <w:pPr>
        <w:ind w:firstLine="709"/>
        <w:jc w:val="both"/>
        <w:rPr>
          <w:rFonts w:ascii="Arial" w:eastAsia="Arial" w:hAnsi="Arial" w:cs="Arial"/>
        </w:rPr>
      </w:pPr>
    </w:p>
    <w:p w:rsidR="00CE34AD" w:rsidRDefault="00B275C5">
      <w:pPr>
        <w:ind w:left="567" w:right="758"/>
        <w:jc w:val="both"/>
        <w:rPr>
          <w:rFonts w:ascii="Arial" w:eastAsia="Arial" w:hAnsi="Arial" w:cs="Arial"/>
          <w:i/>
          <w:sz w:val="18"/>
          <w:szCs w:val="18"/>
        </w:rPr>
      </w:pPr>
      <w:r>
        <w:rPr>
          <w:rFonts w:ascii="Arial" w:eastAsia="Arial" w:hAnsi="Arial" w:cs="Arial"/>
        </w:rPr>
        <w:t xml:space="preserve"> </w:t>
      </w:r>
      <w:r>
        <w:rPr>
          <w:rFonts w:ascii="Arial" w:eastAsia="Arial" w:hAnsi="Arial" w:cs="Arial"/>
          <w:i/>
        </w:rPr>
        <w:t>“</w:t>
      </w:r>
      <w:r>
        <w:rPr>
          <w:rFonts w:ascii="Arial" w:eastAsia="Arial" w:hAnsi="Arial" w:cs="Arial"/>
          <w:b/>
          <w:i/>
          <w:sz w:val="18"/>
          <w:szCs w:val="18"/>
        </w:rPr>
        <w:t xml:space="preserve">Artículo 98.- </w:t>
      </w:r>
      <w:r>
        <w:rPr>
          <w:rFonts w:ascii="Arial" w:eastAsia="Arial" w:hAnsi="Arial" w:cs="Arial"/>
          <w:i/>
          <w:sz w:val="18"/>
          <w:szCs w:val="18"/>
        </w:rPr>
        <w:t>Los servidores públicos y particulares que incurran en responsabilidad frente al Estado, serán sancionados conforme a lo siguiente:</w:t>
      </w:r>
    </w:p>
    <w:p w:rsidR="00CE34AD" w:rsidRDefault="00B275C5">
      <w:pPr>
        <w:ind w:left="567" w:right="758"/>
        <w:jc w:val="both"/>
        <w:rPr>
          <w:rFonts w:ascii="Arial" w:eastAsia="Arial" w:hAnsi="Arial" w:cs="Arial"/>
          <w:i/>
          <w:sz w:val="18"/>
          <w:szCs w:val="18"/>
        </w:rPr>
      </w:pPr>
      <w:r>
        <w:rPr>
          <w:rFonts w:ascii="Arial" w:eastAsia="Arial" w:hAnsi="Arial" w:cs="Arial"/>
          <w:i/>
          <w:sz w:val="18"/>
          <w:szCs w:val="18"/>
        </w:rPr>
        <w:t>…</w:t>
      </w:r>
    </w:p>
    <w:p w:rsidR="00CE34AD" w:rsidRDefault="00B275C5">
      <w:pPr>
        <w:ind w:left="567" w:right="758" w:firstLine="708"/>
        <w:jc w:val="both"/>
        <w:rPr>
          <w:rFonts w:ascii="Arial" w:eastAsia="Arial" w:hAnsi="Arial" w:cs="Arial"/>
          <w:i/>
          <w:sz w:val="18"/>
          <w:szCs w:val="18"/>
        </w:rPr>
      </w:pPr>
      <w:r>
        <w:rPr>
          <w:rFonts w:ascii="Arial" w:eastAsia="Arial" w:hAnsi="Arial" w:cs="Arial"/>
          <w:b/>
          <w:i/>
          <w:sz w:val="18"/>
          <w:szCs w:val="18"/>
        </w:rPr>
        <w:t>III.- Se aplicarán sanciones administrativas a los servidores públic</w:t>
      </w:r>
      <w:r>
        <w:rPr>
          <w:rFonts w:ascii="Arial" w:eastAsia="Arial" w:hAnsi="Arial" w:cs="Arial"/>
          <w:b/>
          <w:i/>
          <w:sz w:val="18"/>
          <w:szCs w:val="18"/>
        </w:rPr>
        <w:t>os por los actos u omisiones que afecten la legalidad, honradez, lealtad, imparcialidad y eficiencia que deban observar en el desempeño de sus empleos, cargos o comisiones</w:t>
      </w:r>
      <w:r>
        <w:rPr>
          <w:rFonts w:ascii="Arial" w:eastAsia="Arial" w:hAnsi="Arial" w:cs="Arial"/>
          <w:i/>
          <w:sz w:val="18"/>
          <w:szCs w:val="18"/>
        </w:rPr>
        <w:t>, o por intervenir en actos de corrupción. Dichas sanciones consistirán en amonestaci</w:t>
      </w:r>
      <w:r>
        <w:rPr>
          <w:rFonts w:ascii="Arial" w:eastAsia="Arial" w:hAnsi="Arial" w:cs="Arial"/>
          <w:i/>
          <w:sz w:val="18"/>
          <w:szCs w:val="18"/>
        </w:rPr>
        <w:t xml:space="preserve">ón, suspensión, destitución e inhabilitación, así como en sanciones económicas, y deberán establecerse de acuerdo con los beneficios económicos que, en su caso, haya obtenido el responsable y con los daños y perjuicios patrimoniales causados por los actos </w:t>
      </w:r>
      <w:r>
        <w:rPr>
          <w:rFonts w:ascii="Arial" w:eastAsia="Arial" w:hAnsi="Arial" w:cs="Arial"/>
          <w:i/>
          <w:sz w:val="18"/>
          <w:szCs w:val="18"/>
        </w:rPr>
        <w:t>u omisiones. La ley establecerá los procedimientos para la investigación y sanción de dichos actos u omisiones”.</w:t>
      </w:r>
    </w:p>
    <w:p w:rsidR="00CE34AD" w:rsidRDefault="00CE34AD">
      <w:pPr>
        <w:jc w:val="both"/>
        <w:rPr>
          <w:rFonts w:ascii="Arial" w:eastAsia="Arial" w:hAnsi="Arial" w:cs="Arial"/>
          <w:sz w:val="18"/>
          <w:szCs w:val="18"/>
        </w:rPr>
      </w:pPr>
    </w:p>
    <w:p w:rsidR="00CE34AD" w:rsidRDefault="00B275C5">
      <w:pPr>
        <w:ind w:firstLine="709"/>
        <w:jc w:val="both"/>
        <w:rPr>
          <w:rFonts w:ascii="Arial" w:eastAsia="Arial" w:hAnsi="Arial" w:cs="Arial"/>
        </w:rPr>
      </w:pPr>
      <w:r>
        <w:rPr>
          <w:rFonts w:ascii="Arial" w:eastAsia="Arial" w:hAnsi="Arial" w:cs="Arial"/>
        </w:rPr>
        <w:t xml:space="preserve">Con base a lo anterior, el Congreso del Estado de Yucatán, al conocer la resolución emitida por el TEEY debe avocarse a determinar la o las sanciones a las que haya lugar por la conducta infractora del Gobernador del Estado de Yucatán esto, en términos de </w:t>
      </w:r>
      <w:r>
        <w:rPr>
          <w:rFonts w:ascii="Arial" w:eastAsia="Arial" w:hAnsi="Arial" w:cs="Arial"/>
        </w:rPr>
        <w:t xml:space="preserve">la Constitución Política del Estado de Yucatán, la Ley de Gobierno del Poder Legislativo, y la Ley de Responsabilidades Administrativas del Estado de Yucatán. </w:t>
      </w:r>
    </w:p>
    <w:p w:rsidR="00CE34AD" w:rsidRDefault="00CE34AD">
      <w:pPr>
        <w:ind w:firstLine="709"/>
        <w:jc w:val="both"/>
        <w:rPr>
          <w:rFonts w:ascii="Arial" w:eastAsia="Arial" w:hAnsi="Arial" w:cs="Arial"/>
        </w:rPr>
      </w:pPr>
    </w:p>
    <w:p w:rsidR="00CE34AD" w:rsidRDefault="00CE34AD">
      <w:pPr>
        <w:jc w:val="both"/>
        <w:rPr>
          <w:rFonts w:ascii="Arial" w:eastAsia="Arial" w:hAnsi="Arial" w:cs="Arial"/>
        </w:rPr>
      </w:pPr>
    </w:p>
    <w:p w:rsidR="00CE34AD" w:rsidRDefault="00B275C5">
      <w:pPr>
        <w:numPr>
          <w:ilvl w:val="0"/>
          <w:numId w:val="3"/>
        </w:numPr>
        <w:pBdr>
          <w:top w:val="nil"/>
          <w:left w:val="nil"/>
          <w:bottom w:val="nil"/>
          <w:right w:val="nil"/>
          <w:between w:val="nil"/>
        </w:pBdr>
        <w:spacing w:after="160" w:line="259" w:lineRule="auto"/>
        <w:jc w:val="both"/>
        <w:rPr>
          <w:rFonts w:ascii="Arial" w:eastAsia="Arial" w:hAnsi="Arial" w:cs="Arial"/>
          <w:i/>
        </w:rPr>
      </w:pPr>
      <w:r>
        <w:rPr>
          <w:rFonts w:ascii="Arial" w:eastAsia="Arial" w:hAnsi="Arial" w:cs="Arial"/>
          <w:i/>
        </w:rPr>
        <w:t>Comisión Permanente de Puntos Constitucionales y Gobernación.</w:t>
      </w:r>
    </w:p>
    <w:p w:rsidR="00CE34AD" w:rsidRDefault="00B275C5">
      <w:pPr>
        <w:ind w:firstLine="709"/>
        <w:jc w:val="both"/>
        <w:rPr>
          <w:rFonts w:ascii="Arial" w:eastAsia="Arial" w:hAnsi="Arial" w:cs="Arial"/>
        </w:rPr>
      </w:pPr>
      <w:r>
        <w:rPr>
          <w:rFonts w:ascii="Arial" w:eastAsia="Arial" w:hAnsi="Arial" w:cs="Arial"/>
        </w:rPr>
        <w:t>Como parte de las tareas a las q</w:t>
      </w:r>
      <w:r>
        <w:rPr>
          <w:rFonts w:ascii="Arial" w:eastAsia="Arial" w:hAnsi="Arial" w:cs="Arial"/>
        </w:rPr>
        <w:t>ue habrá de enfocarse el Congreso del Estado de Yucatán, la Ley de Gobierno del Poder Legislativo del Estado de Yucatán señala que la Comisión Permanente de Puntos Constitucionales y Gobernación cuenta con las facultades para conocer, resolver y proponer l</w:t>
      </w:r>
      <w:r>
        <w:rPr>
          <w:rFonts w:ascii="Arial" w:eastAsia="Arial" w:hAnsi="Arial" w:cs="Arial"/>
        </w:rPr>
        <w:t>as sanciones en materia de responsabilidades de los servidores públicos, por tanto, en el caso en concreto dicha comisión permanente debe atender y resolver lo relativo a la sanción en contra del titular del Poder Ejecutivo en términos de lo resuelto por e</w:t>
      </w:r>
      <w:r>
        <w:rPr>
          <w:rFonts w:ascii="Arial" w:eastAsia="Arial" w:hAnsi="Arial" w:cs="Arial"/>
        </w:rPr>
        <w:t xml:space="preserve">l TEEY. </w:t>
      </w:r>
    </w:p>
    <w:p w:rsidR="00CE34AD" w:rsidRDefault="00CE34AD">
      <w:pPr>
        <w:ind w:firstLine="709"/>
        <w:jc w:val="both"/>
        <w:rPr>
          <w:rFonts w:ascii="Arial" w:eastAsia="Arial" w:hAnsi="Arial" w:cs="Arial"/>
        </w:rPr>
      </w:pPr>
    </w:p>
    <w:p w:rsidR="00CE34AD" w:rsidRDefault="00B275C5">
      <w:pPr>
        <w:ind w:firstLine="709"/>
        <w:jc w:val="both"/>
        <w:rPr>
          <w:rFonts w:ascii="Arial" w:eastAsia="Arial" w:hAnsi="Arial" w:cs="Arial"/>
        </w:rPr>
      </w:pPr>
      <w:r>
        <w:rPr>
          <w:rFonts w:ascii="Arial" w:eastAsia="Arial" w:hAnsi="Arial" w:cs="Arial"/>
        </w:rPr>
        <w:t>La facultad en cita, se prevé en el artículo 43, fracción I, inciso h), misma que para efectos ilustrativos se transcribe:</w:t>
      </w:r>
    </w:p>
    <w:p w:rsidR="00CE34AD" w:rsidRDefault="00CE34AD">
      <w:pPr>
        <w:jc w:val="both"/>
        <w:rPr>
          <w:rFonts w:ascii="Arial" w:eastAsia="Arial" w:hAnsi="Arial" w:cs="Arial"/>
        </w:rPr>
      </w:pPr>
    </w:p>
    <w:p w:rsidR="00CE34AD" w:rsidRDefault="00B275C5">
      <w:pPr>
        <w:ind w:left="709" w:right="900"/>
        <w:jc w:val="both"/>
        <w:rPr>
          <w:rFonts w:ascii="Arial" w:eastAsia="Arial" w:hAnsi="Arial" w:cs="Arial"/>
          <w:i/>
        </w:rPr>
      </w:pPr>
      <w:r>
        <w:rPr>
          <w:rFonts w:ascii="Arial" w:eastAsia="Arial" w:hAnsi="Arial" w:cs="Arial"/>
          <w:b/>
          <w:i/>
        </w:rPr>
        <w:t>“Artículo 43</w:t>
      </w:r>
      <w:r>
        <w:rPr>
          <w:rFonts w:ascii="Arial" w:eastAsia="Arial" w:hAnsi="Arial" w:cs="Arial"/>
          <w:i/>
        </w:rPr>
        <w:t>.- El Congreso designará Comisiones Permanentes que se encargarán del estudio, análisis, investigación, consul</w:t>
      </w:r>
      <w:r>
        <w:rPr>
          <w:rFonts w:ascii="Arial" w:eastAsia="Arial" w:hAnsi="Arial" w:cs="Arial"/>
          <w:i/>
        </w:rPr>
        <w:t xml:space="preserve">ta, debate y dictamen de los asuntos que les sean turnados, de manera individual o conjunta, siendo las siguientes: </w:t>
      </w:r>
    </w:p>
    <w:p w:rsidR="00CE34AD" w:rsidRDefault="00CE34AD">
      <w:pPr>
        <w:ind w:left="709" w:right="900"/>
        <w:jc w:val="both"/>
        <w:rPr>
          <w:rFonts w:ascii="Arial" w:eastAsia="Arial" w:hAnsi="Arial" w:cs="Arial"/>
          <w:i/>
        </w:rPr>
      </w:pPr>
    </w:p>
    <w:p w:rsidR="00CE34AD" w:rsidRDefault="00B275C5">
      <w:pPr>
        <w:ind w:left="709" w:right="900"/>
        <w:jc w:val="both"/>
        <w:rPr>
          <w:rFonts w:ascii="Arial" w:eastAsia="Arial" w:hAnsi="Arial" w:cs="Arial"/>
          <w:i/>
        </w:rPr>
      </w:pPr>
      <w:r>
        <w:rPr>
          <w:rFonts w:ascii="Arial" w:eastAsia="Arial" w:hAnsi="Arial" w:cs="Arial"/>
          <w:i/>
        </w:rPr>
        <w:t xml:space="preserve">I.- </w:t>
      </w:r>
      <w:r>
        <w:rPr>
          <w:rFonts w:ascii="Arial" w:eastAsia="Arial" w:hAnsi="Arial" w:cs="Arial"/>
          <w:b/>
          <w:i/>
        </w:rPr>
        <w:t xml:space="preserve">PUNTOS CONSTITUCIONALES Y GOBERNACIÓN. </w:t>
      </w:r>
      <w:r>
        <w:rPr>
          <w:rFonts w:ascii="Arial" w:eastAsia="Arial" w:hAnsi="Arial" w:cs="Arial"/>
          <w:i/>
        </w:rPr>
        <w:t>Tendrá por objeto estudiar, analizar y dictaminar sobre los asuntos relacionados con las reform</w:t>
      </w:r>
      <w:r>
        <w:rPr>
          <w:rFonts w:ascii="Arial" w:eastAsia="Arial" w:hAnsi="Arial" w:cs="Arial"/>
          <w:i/>
        </w:rPr>
        <w:t>as a la Constitución Política de los Estados Unidos Mexicanos, la propia del Estado y los relativos con la gobernabilidad Estatal y Municipal, para lo cual conocerá todo lo relativo a:</w:t>
      </w:r>
    </w:p>
    <w:p w:rsidR="00CE34AD" w:rsidRDefault="00CE34AD">
      <w:pPr>
        <w:ind w:left="709" w:right="900"/>
        <w:jc w:val="both"/>
        <w:rPr>
          <w:rFonts w:ascii="Arial" w:eastAsia="Arial" w:hAnsi="Arial" w:cs="Arial"/>
          <w:i/>
        </w:rPr>
      </w:pPr>
    </w:p>
    <w:p w:rsidR="00CE34AD" w:rsidRDefault="00B275C5">
      <w:pPr>
        <w:ind w:left="709" w:right="900"/>
        <w:jc w:val="both"/>
        <w:rPr>
          <w:rFonts w:ascii="Arial" w:eastAsia="Arial" w:hAnsi="Arial" w:cs="Arial"/>
          <w:b/>
          <w:i/>
        </w:rPr>
      </w:pPr>
      <w:r>
        <w:rPr>
          <w:rFonts w:ascii="Arial" w:eastAsia="Arial" w:hAnsi="Arial" w:cs="Arial"/>
          <w:b/>
          <w:i/>
        </w:rPr>
        <w:t>h) Los procedimientos para fincar responsabilidades a los servidores públicos,…”</w:t>
      </w:r>
    </w:p>
    <w:p w:rsidR="00CE34AD" w:rsidRDefault="00CE34AD">
      <w:pPr>
        <w:jc w:val="both"/>
        <w:rPr>
          <w:rFonts w:ascii="Arial" w:eastAsia="Arial" w:hAnsi="Arial" w:cs="Arial"/>
        </w:rPr>
      </w:pPr>
    </w:p>
    <w:p w:rsidR="00CE34AD" w:rsidRDefault="00B275C5">
      <w:pPr>
        <w:ind w:firstLine="709"/>
        <w:jc w:val="both"/>
        <w:rPr>
          <w:rFonts w:ascii="Arial" w:eastAsia="Arial" w:hAnsi="Arial" w:cs="Arial"/>
        </w:rPr>
      </w:pPr>
      <w:r>
        <w:rPr>
          <w:rFonts w:ascii="Arial" w:eastAsia="Arial" w:hAnsi="Arial" w:cs="Arial"/>
        </w:rPr>
        <w:t>Refuerza lo anterior lo vertido en el artículo 85 de la mencionada legislación parlamentaria, la cual expresamente concede la competencia en cuanto a conocer, por parte del C</w:t>
      </w:r>
      <w:r>
        <w:rPr>
          <w:rFonts w:ascii="Arial" w:eastAsia="Arial" w:hAnsi="Arial" w:cs="Arial"/>
        </w:rPr>
        <w:t xml:space="preserve">ongreso a través de sus órganos, la responsabilidad de los servidores públicos. Se transcribe el numeral: </w:t>
      </w:r>
    </w:p>
    <w:p w:rsidR="00CE34AD" w:rsidRDefault="00CE34AD">
      <w:pPr>
        <w:jc w:val="both"/>
        <w:rPr>
          <w:rFonts w:ascii="Arial" w:eastAsia="Arial" w:hAnsi="Arial" w:cs="Arial"/>
        </w:rPr>
      </w:pPr>
    </w:p>
    <w:p w:rsidR="00CE34AD" w:rsidRDefault="00B275C5">
      <w:pPr>
        <w:ind w:left="709" w:right="900"/>
        <w:jc w:val="both"/>
        <w:rPr>
          <w:rFonts w:ascii="Arial" w:eastAsia="Arial" w:hAnsi="Arial" w:cs="Arial"/>
          <w:i/>
          <w:sz w:val="18"/>
          <w:szCs w:val="18"/>
        </w:rPr>
      </w:pPr>
      <w:r>
        <w:rPr>
          <w:rFonts w:ascii="Arial" w:eastAsia="Arial" w:hAnsi="Arial" w:cs="Arial"/>
          <w:i/>
          <w:sz w:val="18"/>
          <w:szCs w:val="18"/>
        </w:rPr>
        <w:t xml:space="preserve">“Artículo 85.- Para </w:t>
      </w:r>
      <w:r>
        <w:rPr>
          <w:rFonts w:ascii="Arial" w:eastAsia="Arial" w:hAnsi="Arial" w:cs="Arial"/>
          <w:b/>
          <w:i/>
          <w:sz w:val="18"/>
          <w:szCs w:val="18"/>
        </w:rPr>
        <w:t>la sustanciación de las causas que se formen a los servidores públicos, mencionados en el Título Décimo de la Constitución Polít</w:t>
      </w:r>
      <w:r>
        <w:rPr>
          <w:rFonts w:ascii="Arial" w:eastAsia="Arial" w:hAnsi="Arial" w:cs="Arial"/>
          <w:b/>
          <w:i/>
          <w:sz w:val="18"/>
          <w:szCs w:val="18"/>
        </w:rPr>
        <w:t>ica del Estado, con motivo de la responsabilidad en que incurra en sus funciones</w:t>
      </w:r>
      <w:r>
        <w:rPr>
          <w:rFonts w:ascii="Arial" w:eastAsia="Arial" w:hAnsi="Arial" w:cs="Arial"/>
          <w:i/>
          <w:sz w:val="18"/>
          <w:szCs w:val="18"/>
        </w:rPr>
        <w:t xml:space="preserve">, se estará a lo previsto en la </w:t>
      </w:r>
      <w:r>
        <w:rPr>
          <w:rFonts w:ascii="Arial" w:eastAsia="Arial" w:hAnsi="Arial" w:cs="Arial"/>
          <w:b/>
          <w:i/>
          <w:sz w:val="18"/>
          <w:szCs w:val="18"/>
        </w:rPr>
        <w:t>Ley reglamentaria</w:t>
      </w:r>
      <w:r>
        <w:rPr>
          <w:rFonts w:ascii="Arial" w:eastAsia="Arial" w:hAnsi="Arial" w:cs="Arial"/>
          <w:i/>
          <w:sz w:val="18"/>
          <w:szCs w:val="18"/>
        </w:rPr>
        <w:t xml:space="preserve"> del título décimo a que se refiere el artículo 98 de la Constitución Política del Estado de Yucatán”.</w:t>
      </w:r>
    </w:p>
    <w:p w:rsidR="00CE34AD" w:rsidRDefault="00CE34AD">
      <w:pPr>
        <w:ind w:left="709" w:right="900"/>
        <w:jc w:val="both"/>
        <w:rPr>
          <w:rFonts w:ascii="Arial" w:eastAsia="Arial" w:hAnsi="Arial" w:cs="Arial"/>
          <w:i/>
          <w:sz w:val="18"/>
          <w:szCs w:val="18"/>
        </w:rPr>
      </w:pPr>
    </w:p>
    <w:p w:rsidR="00CE34AD" w:rsidRDefault="00B275C5">
      <w:pPr>
        <w:ind w:right="51" w:firstLine="709"/>
        <w:jc w:val="both"/>
        <w:rPr>
          <w:rFonts w:ascii="Arial" w:eastAsia="Arial" w:hAnsi="Arial" w:cs="Arial"/>
        </w:rPr>
      </w:pPr>
      <w:r>
        <w:rPr>
          <w:rFonts w:ascii="Arial" w:eastAsia="Arial" w:hAnsi="Arial" w:cs="Arial"/>
        </w:rPr>
        <w:t xml:space="preserve">Por lo anterior, se aduce que la Comisión Permanente de Puntos Constitucionales y Gobernación es el órgano que tiene la facultad para conocer y resolver lo relativo a emitir el dictamen en donde sus integrantes determinen la sanción a la que haya lugar en </w:t>
      </w:r>
      <w:r>
        <w:rPr>
          <w:rFonts w:ascii="Arial" w:eastAsia="Arial" w:hAnsi="Arial" w:cs="Arial"/>
        </w:rPr>
        <w:t xml:space="preserve">términos de la ley reglamentaria del artículo 98 de la Constitución Local. </w:t>
      </w:r>
    </w:p>
    <w:p w:rsidR="00CE34AD" w:rsidRDefault="00CE34AD">
      <w:pPr>
        <w:ind w:right="51" w:firstLine="709"/>
        <w:jc w:val="both"/>
        <w:rPr>
          <w:rFonts w:ascii="Arial" w:eastAsia="Arial" w:hAnsi="Arial" w:cs="Arial"/>
        </w:rPr>
      </w:pPr>
    </w:p>
    <w:p w:rsidR="00CE34AD" w:rsidRDefault="00B275C5">
      <w:pPr>
        <w:ind w:right="51" w:firstLine="709"/>
        <w:jc w:val="both"/>
        <w:rPr>
          <w:rFonts w:ascii="Arial" w:eastAsia="Arial" w:hAnsi="Arial" w:cs="Arial"/>
        </w:rPr>
      </w:pPr>
      <w:r>
        <w:rPr>
          <w:rFonts w:ascii="Arial" w:eastAsia="Arial" w:hAnsi="Arial" w:cs="Arial"/>
        </w:rPr>
        <w:t>En este sentido, y una vez acotado el tema, al tratarse de responsabilidad administrativa será aplicable la Ley de Responsabilidades Administrativas del Estado de Yucatán para det</w:t>
      </w:r>
      <w:r>
        <w:rPr>
          <w:rFonts w:ascii="Arial" w:eastAsia="Arial" w:hAnsi="Arial" w:cs="Arial"/>
        </w:rPr>
        <w:t xml:space="preserve">erminar la sanción al titular del Poder Ejecutivo del Estado de Yucatán. </w:t>
      </w:r>
    </w:p>
    <w:p w:rsidR="00CE34AD" w:rsidRDefault="00CE34AD">
      <w:pPr>
        <w:ind w:firstLine="709"/>
        <w:jc w:val="both"/>
        <w:rPr>
          <w:rFonts w:ascii="Arial" w:eastAsia="Arial" w:hAnsi="Arial" w:cs="Arial"/>
        </w:rPr>
      </w:pPr>
    </w:p>
    <w:p w:rsidR="00CE34AD" w:rsidRDefault="00CE34AD">
      <w:pPr>
        <w:jc w:val="both"/>
        <w:rPr>
          <w:rFonts w:ascii="Arial" w:eastAsia="Arial" w:hAnsi="Arial" w:cs="Arial"/>
        </w:rPr>
      </w:pPr>
    </w:p>
    <w:p w:rsidR="00CE34AD" w:rsidRDefault="00B275C5">
      <w:pPr>
        <w:numPr>
          <w:ilvl w:val="0"/>
          <w:numId w:val="8"/>
        </w:numPr>
        <w:pBdr>
          <w:top w:val="nil"/>
          <w:left w:val="nil"/>
          <w:bottom w:val="nil"/>
          <w:right w:val="nil"/>
          <w:between w:val="nil"/>
        </w:pBdr>
        <w:spacing w:after="160" w:line="259" w:lineRule="auto"/>
        <w:ind w:hanging="720"/>
        <w:jc w:val="center"/>
        <w:rPr>
          <w:rFonts w:ascii="Arial" w:eastAsia="Arial" w:hAnsi="Arial" w:cs="Arial"/>
        </w:rPr>
      </w:pPr>
      <w:r>
        <w:rPr>
          <w:rFonts w:ascii="Arial" w:eastAsia="Arial" w:hAnsi="Arial" w:cs="Arial"/>
          <w:b/>
          <w:sz w:val="22"/>
          <w:szCs w:val="22"/>
        </w:rPr>
        <w:t>DETERMINACIÓN DE LA SANCIÓN POR PARTE DEL HONORABLE CONGRESO DEL ESTADO DE YUCATÁN.</w:t>
      </w:r>
    </w:p>
    <w:p w:rsidR="00CE34AD" w:rsidRDefault="00B275C5">
      <w:pPr>
        <w:ind w:firstLine="709"/>
        <w:jc w:val="both"/>
        <w:rPr>
          <w:rFonts w:ascii="Arial" w:eastAsia="Arial" w:hAnsi="Arial" w:cs="Arial"/>
        </w:rPr>
      </w:pPr>
      <w:r>
        <w:rPr>
          <w:rFonts w:ascii="Arial" w:eastAsia="Arial" w:hAnsi="Arial" w:cs="Arial"/>
        </w:rPr>
        <w:t>Una vez sentado el marco constitucional en cuanto a la competencia del Congreso del Estado de Yu</w:t>
      </w:r>
      <w:r>
        <w:rPr>
          <w:rFonts w:ascii="Arial" w:eastAsia="Arial" w:hAnsi="Arial" w:cs="Arial"/>
        </w:rPr>
        <w:t>catán en el caso en análisis, cobra importancia el procedimiento legislativo al que habrá de ceñirse la soberanía para la determinación de la sanción administrativa al titular del Poder Ejecutivo del Estado de Yucatán por las infracciones a la normatividad</w:t>
      </w:r>
      <w:r>
        <w:rPr>
          <w:rFonts w:ascii="Arial" w:eastAsia="Arial" w:hAnsi="Arial" w:cs="Arial"/>
        </w:rPr>
        <w:t xml:space="preserve"> electoral cometidas durante el pasado proceso electoral 2020-2021.</w:t>
      </w:r>
    </w:p>
    <w:p w:rsidR="00CE34AD" w:rsidRDefault="00CE34AD">
      <w:pPr>
        <w:ind w:firstLine="709"/>
        <w:jc w:val="both"/>
        <w:rPr>
          <w:rFonts w:ascii="Arial" w:eastAsia="Arial" w:hAnsi="Arial" w:cs="Arial"/>
        </w:rPr>
      </w:pPr>
    </w:p>
    <w:p w:rsidR="00CE34AD" w:rsidRDefault="00B275C5">
      <w:pPr>
        <w:ind w:firstLine="709"/>
        <w:jc w:val="both"/>
        <w:rPr>
          <w:rFonts w:ascii="Arial" w:eastAsia="Arial" w:hAnsi="Arial" w:cs="Arial"/>
        </w:rPr>
      </w:pPr>
      <w:r>
        <w:rPr>
          <w:rFonts w:ascii="Arial" w:eastAsia="Arial" w:hAnsi="Arial" w:cs="Arial"/>
        </w:rPr>
        <w:t xml:space="preserve">Con base a lo anterior, y una vez que se ha definido la facultad concebida constitucionalmente y por jurisprudencia al Congreso del Estado esta soberanía en el caso específico y a través </w:t>
      </w:r>
      <w:r>
        <w:rPr>
          <w:rFonts w:ascii="Arial" w:eastAsia="Arial" w:hAnsi="Arial" w:cs="Arial"/>
        </w:rPr>
        <w:t>de sus órganos legislativos deberá ocuparse de la responsabilidad del servidor público, específicamente a la administrativa.</w:t>
      </w:r>
    </w:p>
    <w:p w:rsidR="00CE34AD" w:rsidRDefault="00CE34AD">
      <w:pPr>
        <w:ind w:firstLine="709"/>
        <w:jc w:val="both"/>
        <w:rPr>
          <w:rFonts w:ascii="Arial" w:eastAsia="Arial" w:hAnsi="Arial" w:cs="Arial"/>
        </w:rPr>
      </w:pPr>
    </w:p>
    <w:p w:rsidR="00CE34AD" w:rsidRDefault="00CE34AD">
      <w:pPr>
        <w:ind w:right="51" w:firstLine="709"/>
        <w:jc w:val="both"/>
        <w:rPr>
          <w:rFonts w:ascii="Arial" w:eastAsia="Arial" w:hAnsi="Arial" w:cs="Arial"/>
        </w:rPr>
      </w:pPr>
    </w:p>
    <w:p w:rsidR="00CE34AD" w:rsidRDefault="00B275C5">
      <w:pPr>
        <w:numPr>
          <w:ilvl w:val="0"/>
          <w:numId w:val="8"/>
        </w:numPr>
        <w:pBdr>
          <w:top w:val="nil"/>
          <w:left w:val="nil"/>
          <w:bottom w:val="nil"/>
          <w:right w:val="nil"/>
          <w:between w:val="nil"/>
        </w:pBdr>
        <w:spacing w:after="160" w:line="259" w:lineRule="auto"/>
        <w:ind w:right="49" w:hanging="720"/>
        <w:jc w:val="center"/>
        <w:rPr>
          <w:rFonts w:ascii="Arial" w:eastAsia="Arial" w:hAnsi="Arial" w:cs="Arial"/>
          <w:sz w:val="28"/>
          <w:szCs w:val="28"/>
        </w:rPr>
      </w:pPr>
      <w:r>
        <w:rPr>
          <w:rFonts w:ascii="Arial" w:eastAsia="Arial" w:hAnsi="Arial" w:cs="Arial"/>
          <w:b/>
        </w:rPr>
        <w:t xml:space="preserve">CUMPLIMIENTO A LA ORDEN DEL TRIBUNAL ELECTORAL DEL ESTADO DE YUCATÁN. </w:t>
      </w:r>
    </w:p>
    <w:p w:rsidR="00CE34AD" w:rsidRDefault="00B275C5">
      <w:pPr>
        <w:ind w:firstLine="709"/>
        <w:jc w:val="both"/>
        <w:rPr>
          <w:rFonts w:ascii="Arial" w:eastAsia="Arial" w:hAnsi="Arial" w:cs="Arial"/>
        </w:rPr>
      </w:pPr>
      <w:r>
        <w:rPr>
          <w:rFonts w:ascii="Arial" w:eastAsia="Arial" w:hAnsi="Arial" w:cs="Arial"/>
        </w:rPr>
        <w:t xml:space="preserve">Por lo que respecta a la sentencia emitida y notificada al Congreso del Estado de Yucatán, vale la pena señalar que la Ley del </w:t>
      </w:r>
      <w:hyperlink r:id="rId8">
        <w:r>
          <w:rPr>
            <w:rFonts w:ascii="Arial" w:eastAsia="Arial" w:hAnsi="Arial" w:cs="Arial"/>
          </w:rPr>
          <w:t>Sistema de Medios de Imp</w:t>
        </w:r>
        <w:r>
          <w:rPr>
            <w:rFonts w:ascii="Arial" w:eastAsia="Arial" w:hAnsi="Arial" w:cs="Arial"/>
          </w:rPr>
          <w:t>ugnación en Materia Electoral del Estado de Yucatán, en su artículo 75 en relación al 87 de la ley en cita, señala la obligatoriedad para cumplimentar las sentencias emitidas por el referido tribunal</w:t>
        </w:r>
      </w:hyperlink>
      <w:r>
        <w:t>.</w:t>
      </w:r>
    </w:p>
    <w:p w:rsidR="00CE34AD" w:rsidRDefault="00CE34AD">
      <w:pPr>
        <w:ind w:firstLine="709"/>
        <w:jc w:val="both"/>
        <w:rPr>
          <w:rFonts w:ascii="Arial" w:eastAsia="Arial" w:hAnsi="Arial" w:cs="Arial"/>
        </w:rPr>
      </w:pPr>
    </w:p>
    <w:p w:rsidR="00CE34AD" w:rsidRDefault="00B275C5">
      <w:pPr>
        <w:numPr>
          <w:ilvl w:val="0"/>
          <w:numId w:val="8"/>
        </w:numPr>
        <w:pBdr>
          <w:top w:val="nil"/>
          <w:left w:val="nil"/>
          <w:bottom w:val="nil"/>
          <w:right w:val="nil"/>
          <w:between w:val="nil"/>
        </w:pBdr>
        <w:spacing w:after="160" w:line="259" w:lineRule="auto"/>
        <w:ind w:right="49" w:hanging="720"/>
        <w:jc w:val="center"/>
        <w:rPr>
          <w:rFonts w:ascii="Arial" w:eastAsia="Arial" w:hAnsi="Arial" w:cs="Arial"/>
          <w:sz w:val="28"/>
          <w:szCs w:val="28"/>
        </w:rPr>
      </w:pPr>
      <w:r>
        <w:rPr>
          <w:rFonts w:ascii="Arial" w:eastAsia="Arial" w:hAnsi="Arial" w:cs="Arial"/>
          <w:b/>
        </w:rPr>
        <w:t>CONSIDERACIONES A LA LEY DE RESPONSABILIDADES ADMINIST</w:t>
      </w:r>
      <w:r>
        <w:rPr>
          <w:rFonts w:ascii="Arial" w:eastAsia="Arial" w:hAnsi="Arial" w:cs="Arial"/>
          <w:b/>
        </w:rPr>
        <w:t>RATIVAS DEL ESTADO DE YUCATÁN.</w:t>
      </w:r>
    </w:p>
    <w:p w:rsidR="00CE34AD" w:rsidRDefault="00B275C5">
      <w:pPr>
        <w:ind w:right="51" w:firstLine="709"/>
        <w:jc w:val="both"/>
        <w:rPr>
          <w:rFonts w:ascii="Arial" w:eastAsia="Arial" w:hAnsi="Arial" w:cs="Arial"/>
        </w:rPr>
      </w:pPr>
      <w:bookmarkStart w:id="1" w:name="_30j0zll" w:colFirst="0" w:colLast="0"/>
      <w:bookmarkEnd w:id="1"/>
      <w:r>
        <w:rPr>
          <w:rFonts w:ascii="Arial" w:eastAsia="Arial" w:hAnsi="Arial" w:cs="Arial"/>
        </w:rPr>
        <w:t>El tema en análisis deriva en la aplicación de sanciones por parte del Congreso del Estado de Yucatán, a la luz de lo previsto en la Ley de Responsabilidades Administrativas del Estado de Yucatán, para cumplir a lo ordenado p</w:t>
      </w:r>
      <w:r>
        <w:rPr>
          <w:rFonts w:ascii="Arial" w:eastAsia="Arial" w:hAnsi="Arial" w:cs="Arial"/>
        </w:rPr>
        <w:t xml:space="preserve">or el TEEY en el PES-016/2021 respecto del C. Mauricio Vila Dosal, Gobernador del Estado de Yucatán por las infracciones administrativas a las que se ha hecho alusión. </w:t>
      </w:r>
    </w:p>
    <w:p w:rsidR="00CE34AD" w:rsidRDefault="00CE34AD">
      <w:pPr>
        <w:ind w:right="51" w:firstLine="709"/>
        <w:jc w:val="both"/>
        <w:rPr>
          <w:rFonts w:ascii="Arial" w:eastAsia="Arial" w:hAnsi="Arial" w:cs="Arial"/>
        </w:rPr>
      </w:pPr>
    </w:p>
    <w:p w:rsidR="00CE34AD" w:rsidRDefault="00B275C5">
      <w:pPr>
        <w:ind w:right="51" w:firstLine="709"/>
        <w:jc w:val="both"/>
        <w:rPr>
          <w:rFonts w:ascii="Arial" w:eastAsia="Arial" w:hAnsi="Arial" w:cs="Arial"/>
        </w:rPr>
      </w:pPr>
      <w:r>
        <w:rPr>
          <w:rFonts w:ascii="Arial" w:eastAsia="Arial" w:hAnsi="Arial" w:cs="Arial"/>
        </w:rPr>
        <w:t>Ahora bien, el Congreso del Estado de Yucatán es competente para aplicar la Ley de Res</w:t>
      </w:r>
      <w:r>
        <w:rPr>
          <w:rFonts w:ascii="Arial" w:eastAsia="Arial" w:hAnsi="Arial" w:cs="Arial"/>
        </w:rPr>
        <w:t xml:space="preserve">ponsabilidades Administrativas, en términos de lo que dispone la fracción III del artículo 8 del ordenamiento, </w:t>
      </w:r>
      <w:r>
        <w:rPr>
          <w:rFonts w:ascii="Arial" w:eastAsia="Arial" w:hAnsi="Arial" w:cs="Arial"/>
          <w:u w:val="single"/>
        </w:rPr>
        <w:t>tanto de manera interna, es decir, en su propia organización, como en aquellos supuestos previstos en las leyes, y en el caso concreto, en cumpli</w:t>
      </w:r>
      <w:r>
        <w:rPr>
          <w:rFonts w:ascii="Arial" w:eastAsia="Arial" w:hAnsi="Arial" w:cs="Arial"/>
          <w:u w:val="single"/>
        </w:rPr>
        <w:t>miento a un mandato jurisdiccional que le otorga competencia, de acuerdo a la jurisprudencia electoral</w:t>
      </w:r>
      <w:r>
        <w:rPr>
          <w:rFonts w:ascii="Arial" w:eastAsia="Arial" w:hAnsi="Arial" w:cs="Arial"/>
        </w:rPr>
        <w:t>. Para mayor abundamiento se transcribe el artículo 8, que a la letra dice:</w:t>
      </w:r>
    </w:p>
    <w:p w:rsidR="00CE34AD" w:rsidRDefault="00CE34AD">
      <w:pPr>
        <w:ind w:right="49"/>
        <w:jc w:val="both"/>
        <w:rPr>
          <w:rFonts w:ascii="Arial" w:eastAsia="Arial" w:hAnsi="Arial" w:cs="Arial"/>
        </w:rPr>
      </w:pPr>
    </w:p>
    <w:p w:rsidR="00CE34AD" w:rsidRDefault="00B275C5">
      <w:pPr>
        <w:ind w:left="993" w:right="758"/>
        <w:jc w:val="both"/>
        <w:rPr>
          <w:rFonts w:ascii="Arial" w:eastAsia="Arial" w:hAnsi="Arial" w:cs="Arial"/>
          <w:i/>
          <w:sz w:val="18"/>
          <w:szCs w:val="18"/>
        </w:rPr>
      </w:pPr>
      <w:r>
        <w:rPr>
          <w:rFonts w:ascii="Arial" w:eastAsia="Arial" w:hAnsi="Arial" w:cs="Arial"/>
          <w:i/>
          <w:sz w:val="18"/>
          <w:szCs w:val="18"/>
        </w:rPr>
        <w:t xml:space="preserve">“Autoridades competentes para aplicar la presente Ley </w:t>
      </w:r>
    </w:p>
    <w:p w:rsidR="00CE34AD" w:rsidRDefault="00B275C5">
      <w:pPr>
        <w:ind w:left="993" w:right="758"/>
        <w:jc w:val="both"/>
        <w:rPr>
          <w:rFonts w:ascii="Arial" w:eastAsia="Arial" w:hAnsi="Arial" w:cs="Arial"/>
          <w:i/>
          <w:sz w:val="18"/>
          <w:szCs w:val="18"/>
        </w:rPr>
      </w:pPr>
      <w:r>
        <w:rPr>
          <w:rFonts w:ascii="Arial" w:eastAsia="Arial" w:hAnsi="Arial" w:cs="Arial"/>
          <w:i/>
          <w:sz w:val="18"/>
          <w:szCs w:val="18"/>
        </w:rPr>
        <w:t xml:space="preserve">Artículo 8. Serán autoridades competentes para aplicar esta Ley, en el ámbito de sus respectivas competencias: </w:t>
      </w:r>
    </w:p>
    <w:p w:rsidR="00CE34AD" w:rsidRDefault="00B275C5">
      <w:pPr>
        <w:ind w:left="993" w:right="758"/>
        <w:jc w:val="both"/>
        <w:rPr>
          <w:rFonts w:ascii="Arial" w:eastAsia="Arial" w:hAnsi="Arial" w:cs="Arial"/>
          <w:i/>
          <w:sz w:val="18"/>
          <w:szCs w:val="18"/>
        </w:rPr>
      </w:pPr>
      <w:r>
        <w:rPr>
          <w:rFonts w:ascii="Arial" w:eastAsia="Arial" w:hAnsi="Arial" w:cs="Arial"/>
          <w:i/>
          <w:sz w:val="18"/>
          <w:szCs w:val="18"/>
        </w:rPr>
        <w:t>I. La Auditoría Superior del Estado de Yucatán</w:t>
      </w:r>
    </w:p>
    <w:p w:rsidR="00CE34AD" w:rsidRDefault="00B275C5">
      <w:pPr>
        <w:ind w:left="993" w:right="758"/>
        <w:jc w:val="both"/>
        <w:rPr>
          <w:rFonts w:ascii="Arial" w:eastAsia="Arial" w:hAnsi="Arial" w:cs="Arial"/>
          <w:i/>
          <w:sz w:val="18"/>
          <w:szCs w:val="18"/>
        </w:rPr>
      </w:pPr>
      <w:r>
        <w:rPr>
          <w:rFonts w:ascii="Arial" w:eastAsia="Arial" w:hAnsi="Arial" w:cs="Arial"/>
          <w:i/>
          <w:sz w:val="18"/>
          <w:szCs w:val="18"/>
        </w:rPr>
        <w:t xml:space="preserve"> II. El Tribunal de Justicia Administrativa de Yucatán; </w:t>
      </w:r>
    </w:p>
    <w:p w:rsidR="00CE34AD" w:rsidRDefault="00B275C5">
      <w:pPr>
        <w:ind w:left="993" w:right="758"/>
        <w:jc w:val="both"/>
        <w:rPr>
          <w:rFonts w:ascii="Arial" w:eastAsia="Arial" w:hAnsi="Arial" w:cs="Arial"/>
          <w:i/>
          <w:sz w:val="18"/>
          <w:szCs w:val="18"/>
        </w:rPr>
      </w:pPr>
      <w:r>
        <w:rPr>
          <w:rFonts w:ascii="Arial" w:eastAsia="Arial" w:hAnsi="Arial" w:cs="Arial"/>
          <w:i/>
          <w:sz w:val="18"/>
          <w:szCs w:val="18"/>
        </w:rPr>
        <w:t xml:space="preserve">III. El Congreso del Estado de Yucatán; </w:t>
      </w:r>
    </w:p>
    <w:p w:rsidR="00CE34AD" w:rsidRDefault="00B275C5">
      <w:pPr>
        <w:ind w:left="993" w:right="758"/>
        <w:jc w:val="both"/>
        <w:rPr>
          <w:rFonts w:ascii="Arial" w:eastAsia="Arial" w:hAnsi="Arial" w:cs="Arial"/>
          <w:i/>
          <w:sz w:val="18"/>
          <w:szCs w:val="18"/>
        </w:rPr>
      </w:pPr>
      <w:r>
        <w:rPr>
          <w:rFonts w:ascii="Arial" w:eastAsia="Arial" w:hAnsi="Arial" w:cs="Arial"/>
          <w:i/>
          <w:sz w:val="18"/>
          <w:szCs w:val="18"/>
        </w:rPr>
        <w:t>IV. El Ejecutivo del Estado, por conducto de la Secretaría de la Contraloría General, por si, o a través de sus órganos de control interno, la Secretaría de Seguridad Pública y la Fiscalía General del Estado de Yucatán, en el ámbito que les corresponda;</w:t>
      </w:r>
    </w:p>
    <w:p w:rsidR="00CE34AD" w:rsidRDefault="00B275C5">
      <w:pPr>
        <w:ind w:left="993" w:right="758"/>
        <w:jc w:val="both"/>
        <w:rPr>
          <w:rFonts w:ascii="Arial" w:eastAsia="Arial" w:hAnsi="Arial" w:cs="Arial"/>
          <w:i/>
          <w:sz w:val="18"/>
          <w:szCs w:val="18"/>
        </w:rPr>
      </w:pPr>
      <w:r>
        <w:rPr>
          <w:rFonts w:ascii="Arial" w:eastAsia="Arial" w:hAnsi="Arial" w:cs="Arial"/>
          <w:i/>
          <w:sz w:val="18"/>
          <w:szCs w:val="18"/>
        </w:rPr>
        <w:t xml:space="preserve"> </w:t>
      </w:r>
      <w:r>
        <w:rPr>
          <w:rFonts w:ascii="Arial" w:eastAsia="Arial" w:hAnsi="Arial" w:cs="Arial"/>
          <w:i/>
          <w:sz w:val="18"/>
          <w:szCs w:val="18"/>
        </w:rPr>
        <w:t xml:space="preserve">V. El Tribunal Superior de Justicia y el Consejo de la Judicatura del Poder Judicial del Estado de Yucatán, con la intervención que corresponda al órgano de control del Poder Judicial; </w:t>
      </w:r>
    </w:p>
    <w:p w:rsidR="00CE34AD" w:rsidRDefault="00B275C5">
      <w:pPr>
        <w:ind w:left="993" w:right="758"/>
        <w:jc w:val="both"/>
        <w:rPr>
          <w:rFonts w:ascii="Arial" w:eastAsia="Arial" w:hAnsi="Arial" w:cs="Arial"/>
          <w:i/>
          <w:sz w:val="18"/>
          <w:szCs w:val="18"/>
        </w:rPr>
      </w:pPr>
      <w:r>
        <w:rPr>
          <w:rFonts w:ascii="Arial" w:eastAsia="Arial" w:hAnsi="Arial" w:cs="Arial"/>
          <w:i/>
          <w:sz w:val="18"/>
          <w:szCs w:val="18"/>
        </w:rPr>
        <w:t xml:space="preserve">VI. Los Ayuntamientos en los términos que disponga la Ley de Gobierno </w:t>
      </w:r>
      <w:r>
        <w:rPr>
          <w:rFonts w:ascii="Arial" w:eastAsia="Arial" w:hAnsi="Arial" w:cs="Arial"/>
          <w:i/>
          <w:sz w:val="18"/>
          <w:szCs w:val="18"/>
        </w:rPr>
        <w:t xml:space="preserve">de los Municipios del Estado de Yucatán; </w:t>
      </w:r>
    </w:p>
    <w:p w:rsidR="00CE34AD" w:rsidRDefault="00B275C5">
      <w:pPr>
        <w:ind w:left="993" w:right="758"/>
        <w:jc w:val="both"/>
        <w:rPr>
          <w:rFonts w:ascii="Arial" w:eastAsia="Arial" w:hAnsi="Arial" w:cs="Arial"/>
          <w:i/>
          <w:sz w:val="18"/>
          <w:szCs w:val="18"/>
        </w:rPr>
      </w:pPr>
      <w:r>
        <w:rPr>
          <w:rFonts w:ascii="Arial" w:eastAsia="Arial" w:hAnsi="Arial" w:cs="Arial"/>
          <w:i/>
          <w:sz w:val="18"/>
          <w:szCs w:val="18"/>
        </w:rPr>
        <w:t>VII. Los Organismos Autónomos a través de sus órganos de control interno;</w:t>
      </w:r>
    </w:p>
    <w:p w:rsidR="00CE34AD" w:rsidRDefault="00B275C5">
      <w:pPr>
        <w:ind w:left="993" w:right="758"/>
        <w:jc w:val="both"/>
        <w:rPr>
          <w:rFonts w:ascii="Arial" w:eastAsia="Arial" w:hAnsi="Arial" w:cs="Arial"/>
          <w:i/>
          <w:sz w:val="18"/>
          <w:szCs w:val="18"/>
        </w:rPr>
      </w:pPr>
      <w:r>
        <w:rPr>
          <w:rFonts w:ascii="Arial" w:eastAsia="Arial" w:hAnsi="Arial" w:cs="Arial"/>
          <w:i/>
          <w:sz w:val="18"/>
          <w:szCs w:val="18"/>
        </w:rPr>
        <w:t>VIII. Los demás órganos que determinen esta Ley y otras disposiciones legales aplicables.”</w:t>
      </w:r>
    </w:p>
    <w:p w:rsidR="00CE34AD" w:rsidRDefault="00CE34AD">
      <w:pPr>
        <w:ind w:left="993" w:right="758"/>
        <w:jc w:val="both"/>
        <w:rPr>
          <w:i/>
          <w:sz w:val="18"/>
          <w:szCs w:val="18"/>
        </w:rPr>
      </w:pPr>
    </w:p>
    <w:p w:rsidR="00CE34AD" w:rsidRDefault="00CE34AD">
      <w:pPr>
        <w:ind w:left="993" w:right="758"/>
        <w:jc w:val="both"/>
        <w:rPr>
          <w:i/>
          <w:sz w:val="18"/>
          <w:szCs w:val="18"/>
        </w:rPr>
      </w:pPr>
    </w:p>
    <w:p w:rsidR="00CE34AD" w:rsidRDefault="00B275C5">
      <w:pPr>
        <w:numPr>
          <w:ilvl w:val="0"/>
          <w:numId w:val="7"/>
        </w:numPr>
        <w:pBdr>
          <w:top w:val="nil"/>
          <w:left w:val="nil"/>
          <w:bottom w:val="nil"/>
          <w:right w:val="nil"/>
          <w:between w:val="nil"/>
        </w:pBdr>
        <w:spacing w:line="259" w:lineRule="auto"/>
        <w:ind w:right="758"/>
        <w:jc w:val="both"/>
        <w:rPr>
          <w:rFonts w:ascii="Arial" w:eastAsia="Arial" w:hAnsi="Arial" w:cs="Arial"/>
          <w:i/>
        </w:rPr>
      </w:pPr>
      <w:r>
        <w:rPr>
          <w:rFonts w:ascii="Arial" w:eastAsia="Arial" w:hAnsi="Arial" w:cs="Arial"/>
          <w:i/>
        </w:rPr>
        <w:t xml:space="preserve">Dictamen donde se identifique la falta no grave y la sanción a establecer. </w:t>
      </w:r>
    </w:p>
    <w:p w:rsidR="00CE34AD" w:rsidRDefault="00CE34AD">
      <w:pPr>
        <w:ind w:right="758"/>
        <w:jc w:val="both"/>
        <w:rPr>
          <w:i/>
        </w:rPr>
      </w:pPr>
    </w:p>
    <w:p w:rsidR="00CE34AD" w:rsidRDefault="00B275C5">
      <w:pPr>
        <w:ind w:firstLine="709"/>
        <w:jc w:val="both"/>
        <w:rPr>
          <w:rFonts w:ascii="Arial" w:eastAsia="Arial" w:hAnsi="Arial" w:cs="Arial"/>
        </w:rPr>
      </w:pPr>
      <w:r>
        <w:rPr>
          <w:rFonts w:ascii="Arial" w:eastAsia="Arial" w:hAnsi="Arial" w:cs="Arial"/>
        </w:rPr>
        <w:t>La Comisión Permanente de Puntos Constitucionales y Gobernación, con base a los considerandos y puntos resolutivos del Tribunal Electoral del Estado de Yucatán debe atender, sin e</w:t>
      </w:r>
      <w:r>
        <w:rPr>
          <w:rFonts w:ascii="Arial" w:eastAsia="Arial" w:hAnsi="Arial" w:cs="Arial"/>
        </w:rPr>
        <w:t xml:space="preserve">ntrar al fondo del asunto, dictaminar la sanción administrativa que corresponda por las infracciones cometidas. </w:t>
      </w:r>
    </w:p>
    <w:p w:rsidR="00CE34AD" w:rsidRDefault="00CE34AD">
      <w:pPr>
        <w:ind w:firstLine="709"/>
        <w:jc w:val="both"/>
        <w:rPr>
          <w:rFonts w:ascii="Arial" w:eastAsia="Arial" w:hAnsi="Arial" w:cs="Arial"/>
        </w:rPr>
      </w:pPr>
    </w:p>
    <w:p w:rsidR="00CE34AD" w:rsidRDefault="00B275C5">
      <w:pPr>
        <w:ind w:firstLine="709"/>
        <w:jc w:val="both"/>
        <w:rPr>
          <w:rFonts w:ascii="Arial" w:eastAsia="Arial" w:hAnsi="Arial" w:cs="Arial"/>
        </w:rPr>
      </w:pPr>
      <w:r>
        <w:rPr>
          <w:rFonts w:ascii="Arial" w:eastAsia="Arial" w:hAnsi="Arial" w:cs="Arial"/>
        </w:rPr>
        <w:t>En tal contexto, debe analizar si se trata de faltas no graves o graves en términos de la propia legislación, las cuales en este caso en espec</w:t>
      </w:r>
      <w:r>
        <w:rPr>
          <w:rFonts w:ascii="Arial" w:eastAsia="Arial" w:hAnsi="Arial" w:cs="Arial"/>
        </w:rPr>
        <w:t xml:space="preserve">ífico se trata de faltas no graves por lo que es procedente emitir aquellas que expresamente se detallen en la norma. </w:t>
      </w:r>
    </w:p>
    <w:p w:rsidR="00CE34AD" w:rsidRDefault="00CE34AD">
      <w:pPr>
        <w:jc w:val="both"/>
        <w:rPr>
          <w:rFonts w:ascii="Arial" w:eastAsia="Arial" w:hAnsi="Arial" w:cs="Arial"/>
        </w:rPr>
      </w:pPr>
    </w:p>
    <w:p w:rsidR="00CE34AD" w:rsidRDefault="00B275C5">
      <w:pPr>
        <w:numPr>
          <w:ilvl w:val="0"/>
          <w:numId w:val="7"/>
        </w:numPr>
        <w:pBdr>
          <w:top w:val="nil"/>
          <w:left w:val="nil"/>
          <w:bottom w:val="nil"/>
          <w:right w:val="nil"/>
          <w:between w:val="nil"/>
        </w:pBdr>
        <w:jc w:val="both"/>
        <w:rPr>
          <w:rFonts w:ascii="Arial" w:eastAsia="Arial" w:hAnsi="Arial" w:cs="Arial"/>
          <w:i/>
        </w:rPr>
      </w:pPr>
      <w:r>
        <w:rPr>
          <w:rFonts w:ascii="Arial" w:eastAsia="Arial" w:hAnsi="Arial" w:cs="Arial"/>
          <w:i/>
        </w:rPr>
        <w:t>Falta no grave</w:t>
      </w:r>
    </w:p>
    <w:p w:rsidR="00CE34AD" w:rsidRDefault="00CE34AD">
      <w:pPr>
        <w:jc w:val="both"/>
        <w:rPr>
          <w:rFonts w:ascii="Arial" w:eastAsia="Arial" w:hAnsi="Arial" w:cs="Arial"/>
        </w:rPr>
      </w:pPr>
    </w:p>
    <w:p w:rsidR="00CE34AD" w:rsidRDefault="00B275C5">
      <w:pPr>
        <w:ind w:firstLine="709"/>
        <w:jc w:val="both"/>
        <w:rPr>
          <w:rFonts w:ascii="Arial" w:eastAsia="Arial" w:hAnsi="Arial" w:cs="Arial"/>
        </w:rPr>
      </w:pPr>
      <w:r>
        <w:rPr>
          <w:rFonts w:ascii="Arial" w:eastAsia="Arial" w:hAnsi="Arial" w:cs="Arial"/>
        </w:rPr>
        <w:t>En el caso concreto, y de acuerdo a las infracciones resueltas por el Pleno del TEEY la conducta se encuentran previstas</w:t>
      </w:r>
      <w:r>
        <w:rPr>
          <w:rFonts w:ascii="Arial" w:eastAsia="Arial" w:hAnsi="Arial" w:cs="Arial"/>
        </w:rPr>
        <w:t xml:space="preserve"> en el artículo 51, fracción I, inciso k) de la Ley de Responsabilidades Administrativas del Estado de Yucatán, donde se enlistan las faltas administrativas no graves, a saber: </w:t>
      </w:r>
    </w:p>
    <w:p w:rsidR="00CE34AD" w:rsidRDefault="00CE34AD">
      <w:pPr>
        <w:jc w:val="both"/>
        <w:rPr>
          <w:rFonts w:ascii="Arial" w:eastAsia="Arial" w:hAnsi="Arial" w:cs="Arial"/>
        </w:rPr>
      </w:pPr>
    </w:p>
    <w:p w:rsidR="00CE34AD" w:rsidRDefault="00CE34AD">
      <w:pPr>
        <w:jc w:val="both"/>
        <w:rPr>
          <w:rFonts w:ascii="Arial" w:eastAsia="Arial" w:hAnsi="Arial" w:cs="Arial"/>
        </w:rPr>
      </w:pPr>
    </w:p>
    <w:p w:rsidR="00CE34AD" w:rsidRDefault="00B275C5">
      <w:pPr>
        <w:ind w:left="1134" w:right="616"/>
        <w:jc w:val="both"/>
        <w:rPr>
          <w:rFonts w:ascii="Arial" w:eastAsia="Arial" w:hAnsi="Arial" w:cs="Arial"/>
          <w:i/>
          <w:sz w:val="18"/>
          <w:szCs w:val="18"/>
        </w:rPr>
      </w:pPr>
      <w:r>
        <w:rPr>
          <w:rFonts w:ascii="Arial" w:eastAsia="Arial" w:hAnsi="Arial" w:cs="Arial"/>
          <w:b/>
          <w:i/>
          <w:sz w:val="18"/>
          <w:szCs w:val="18"/>
        </w:rPr>
        <w:t>Artículo 51.</w:t>
      </w:r>
      <w:r>
        <w:rPr>
          <w:rFonts w:ascii="Arial" w:eastAsia="Arial" w:hAnsi="Arial" w:cs="Arial"/>
          <w:i/>
          <w:sz w:val="18"/>
          <w:szCs w:val="18"/>
        </w:rPr>
        <w:t xml:space="preserve"> Faltas no graves</w:t>
      </w:r>
    </w:p>
    <w:p w:rsidR="00CE34AD" w:rsidRDefault="00CE34AD">
      <w:pPr>
        <w:ind w:left="1134" w:right="616"/>
        <w:jc w:val="both"/>
        <w:rPr>
          <w:rFonts w:ascii="Arial" w:eastAsia="Arial" w:hAnsi="Arial" w:cs="Arial"/>
          <w:i/>
          <w:sz w:val="18"/>
          <w:szCs w:val="18"/>
        </w:rPr>
      </w:pPr>
    </w:p>
    <w:p w:rsidR="00CE34AD" w:rsidRDefault="00B275C5">
      <w:pPr>
        <w:ind w:left="1134" w:right="616"/>
        <w:jc w:val="both"/>
        <w:rPr>
          <w:rFonts w:ascii="Arial" w:eastAsia="Arial" w:hAnsi="Arial" w:cs="Arial"/>
          <w:i/>
          <w:sz w:val="18"/>
          <w:szCs w:val="18"/>
        </w:rPr>
      </w:pPr>
      <w:r>
        <w:rPr>
          <w:rFonts w:ascii="Arial" w:eastAsia="Arial" w:hAnsi="Arial" w:cs="Arial"/>
          <w:i/>
          <w:sz w:val="18"/>
          <w:szCs w:val="18"/>
        </w:rPr>
        <w:t>Incurrirá en Falta administrativa no grave el servidor público cuyos actos u omisiones incumplan o transgredan lo contenido en las obligaciones y conductas siguientes:</w:t>
      </w:r>
    </w:p>
    <w:p w:rsidR="00CE34AD" w:rsidRDefault="00CE34AD">
      <w:pPr>
        <w:ind w:left="1134" w:right="616"/>
        <w:jc w:val="both"/>
        <w:rPr>
          <w:rFonts w:ascii="Arial" w:eastAsia="Arial" w:hAnsi="Arial" w:cs="Arial"/>
          <w:i/>
          <w:sz w:val="18"/>
          <w:szCs w:val="18"/>
        </w:rPr>
      </w:pPr>
    </w:p>
    <w:p w:rsidR="00CE34AD" w:rsidRDefault="00B275C5">
      <w:pPr>
        <w:ind w:left="1134" w:right="616"/>
        <w:jc w:val="both"/>
        <w:rPr>
          <w:rFonts w:ascii="Arial" w:eastAsia="Arial" w:hAnsi="Arial" w:cs="Arial"/>
          <w:i/>
          <w:sz w:val="18"/>
          <w:szCs w:val="18"/>
        </w:rPr>
      </w:pPr>
      <w:r>
        <w:rPr>
          <w:rFonts w:ascii="Arial" w:eastAsia="Arial" w:hAnsi="Arial" w:cs="Arial"/>
          <w:i/>
          <w:sz w:val="18"/>
          <w:szCs w:val="18"/>
        </w:rPr>
        <w:t xml:space="preserve">I… </w:t>
      </w:r>
    </w:p>
    <w:p w:rsidR="00CE34AD" w:rsidRDefault="00CE34AD">
      <w:pPr>
        <w:ind w:left="1134" w:right="616"/>
        <w:jc w:val="both"/>
        <w:rPr>
          <w:rFonts w:ascii="Arial" w:eastAsia="Arial" w:hAnsi="Arial" w:cs="Arial"/>
          <w:b/>
          <w:i/>
          <w:sz w:val="20"/>
          <w:szCs w:val="20"/>
          <w:u w:val="single"/>
        </w:rPr>
      </w:pPr>
    </w:p>
    <w:p w:rsidR="00CE34AD" w:rsidRDefault="00B275C5">
      <w:pPr>
        <w:ind w:left="1134" w:right="616"/>
        <w:jc w:val="both"/>
        <w:rPr>
          <w:rFonts w:ascii="Arial" w:eastAsia="Arial" w:hAnsi="Arial" w:cs="Arial"/>
          <w:b/>
          <w:i/>
          <w:sz w:val="20"/>
          <w:szCs w:val="20"/>
          <w:u w:val="single"/>
        </w:rPr>
      </w:pPr>
      <w:r>
        <w:rPr>
          <w:rFonts w:ascii="Arial" w:eastAsia="Arial" w:hAnsi="Arial" w:cs="Arial"/>
          <w:b/>
          <w:i/>
          <w:sz w:val="20"/>
          <w:szCs w:val="20"/>
          <w:u w:val="single"/>
        </w:rPr>
        <w:t>k) Abstenerse de infringir, por acción u omisión, las disposiciones constitucionales, legales, reglamentarias y normativas en materia electoral, de propaganda gubernamental y aplicación imparcial de los recursos públicos;</w:t>
      </w:r>
    </w:p>
    <w:p w:rsidR="00CE34AD" w:rsidRDefault="00CE34AD">
      <w:pPr>
        <w:ind w:left="1134" w:right="616"/>
        <w:jc w:val="both"/>
        <w:rPr>
          <w:rFonts w:ascii="Arial" w:eastAsia="Arial" w:hAnsi="Arial" w:cs="Arial"/>
          <w:b/>
          <w:i/>
          <w:sz w:val="20"/>
          <w:szCs w:val="20"/>
          <w:u w:val="single"/>
        </w:rPr>
      </w:pPr>
    </w:p>
    <w:p w:rsidR="00CE34AD" w:rsidRDefault="00CE34AD">
      <w:pPr>
        <w:ind w:right="616"/>
        <w:jc w:val="both"/>
        <w:rPr>
          <w:rFonts w:ascii="Arial" w:eastAsia="Arial" w:hAnsi="Arial" w:cs="Arial"/>
          <w:i/>
          <w:sz w:val="18"/>
          <w:szCs w:val="18"/>
        </w:rPr>
      </w:pPr>
    </w:p>
    <w:p w:rsidR="00CE34AD" w:rsidRDefault="00B275C5">
      <w:pPr>
        <w:ind w:right="51" w:firstLine="709"/>
        <w:jc w:val="both"/>
        <w:rPr>
          <w:rFonts w:ascii="Arial" w:eastAsia="Arial" w:hAnsi="Arial" w:cs="Arial"/>
        </w:rPr>
      </w:pPr>
      <w:r>
        <w:rPr>
          <w:rFonts w:ascii="Arial" w:eastAsia="Arial" w:hAnsi="Arial" w:cs="Arial"/>
        </w:rPr>
        <w:t>Bajo este argumento, las infracc</w:t>
      </w:r>
      <w:r>
        <w:rPr>
          <w:rFonts w:ascii="Arial" w:eastAsia="Arial" w:hAnsi="Arial" w:cs="Arial"/>
        </w:rPr>
        <w:t>iones resueltas por el TEEY en contra del C. Mauricio Vila Dosal, como Gobernador Constitucional del Estado de Yucatán guardan relación inminente con faltas administrativas no graves, las cuales se hallan definidas dentro de la propia ley de responsabilida</w:t>
      </w:r>
      <w:r>
        <w:rPr>
          <w:rFonts w:ascii="Arial" w:eastAsia="Arial" w:hAnsi="Arial" w:cs="Arial"/>
        </w:rPr>
        <w:t>des local a la que se hace referencia.</w:t>
      </w:r>
    </w:p>
    <w:p w:rsidR="00CE34AD" w:rsidRDefault="00CE34AD">
      <w:pPr>
        <w:ind w:right="51" w:firstLine="709"/>
        <w:jc w:val="both"/>
        <w:rPr>
          <w:rFonts w:ascii="Arial" w:eastAsia="Arial" w:hAnsi="Arial" w:cs="Arial"/>
        </w:rPr>
      </w:pPr>
    </w:p>
    <w:p w:rsidR="00CE34AD" w:rsidRDefault="00CE34AD">
      <w:pPr>
        <w:ind w:left="1134" w:right="616"/>
        <w:jc w:val="both"/>
        <w:rPr>
          <w:rFonts w:ascii="Arial" w:eastAsia="Arial" w:hAnsi="Arial" w:cs="Arial"/>
          <w:i/>
          <w:sz w:val="18"/>
          <w:szCs w:val="18"/>
        </w:rPr>
      </w:pPr>
    </w:p>
    <w:p w:rsidR="00CE34AD" w:rsidRDefault="00B275C5">
      <w:pPr>
        <w:numPr>
          <w:ilvl w:val="0"/>
          <w:numId w:val="7"/>
        </w:numPr>
        <w:pBdr>
          <w:top w:val="nil"/>
          <w:left w:val="nil"/>
          <w:bottom w:val="nil"/>
          <w:right w:val="nil"/>
          <w:between w:val="nil"/>
        </w:pBdr>
        <w:ind w:right="616"/>
        <w:jc w:val="both"/>
        <w:rPr>
          <w:rFonts w:ascii="Arial" w:eastAsia="Arial" w:hAnsi="Arial" w:cs="Arial"/>
          <w:i/>
        </w:rPr>
      </w:pPr>
      <w:r>
        <w:rPr>
          <w:rFonts w:ascii="Arial" w:eastAsia="Arial" w:hAnsi="Arial" w:cs="Arial"/>
          <w:i/>
        </w:rPr>
        <w:t>Sanción por falta no grave</w:t>
      </w:r>
    </w:p>
    <w:p w:rsidR="00CE34AD" w:rsidRDefault="00CE34AD">
      <w:pPr>
        <w:jc w:val="both"/>
        <w:rPr>
          <w:rFonts w:ascii="Arial" w:eastAsia="Arial" w:hAnsi="Arial" w:cs="Arial"/>
        </w:rPr>
      </w:pPr>
    </w:p>
    <w:p w:rsidR="00CE34AD" w:rsidRDefault="00B275C5">
      <w:pPr>
        <w:ind w:firstLine="709"/>
        <w:jc w:val="both"/>
        <w:rPr>
          <w:rFonts w:ascii="Arial" w:eastAsia="Arial" w:hAnsi="Arial" w:cs="Arial"/>
        </w:rPr>
      </w:pPr>
      <w:r>
        <w:rPr>
          <w:rFonts w:ascii="Arial" w:eastAsia="Arial" w:hAnsi="Arial" w:cs="Arial"/>
        </w:rPr>
        <w:t>Una vez que se ha identificado la conducta atribuida al C. Mauricio Vila Dosal, en su carácter de Gobernador Constitucional del Estado de Yucatán, como falta no grave, es procedente y apl</w:t>
      </w:r>
      <w:r>
        <w:rPr>
          <w:rFonts w:ascii="Arial" w:eastAsia="Arial" w:hAnsi="Arial" w:cs="Arial"/>
        </w:rPr>
        <w:t xml:space="preserve">icable el artículo 77 de la Ley de Responsabilidades Administrativas del Estado de Yucatán, el cual señala </w:t>
      </w:r>
      <w:r>
        <w:rPr>
          <w:rFonts w:ascii="Arial" w:eastAsia="Arial" w:hAnsi="Arial" w:cs="Arial"/>
          <w:u w:val="single"/>
        </w:rPr>
        <w:t>aquellas sanciones para faltas no graves</w:t>
      </w:r>
      <w:r>
        <w:rPr>
          <w:rFonts w:ascii="Arial" w:eastAsia="Arial" w:hAnsi="Arial" w:cs="Arial"/>
        </w:rPr>
        <w:t xml:space="preserve"> que las autoridades distintas al Tribunal del Estado, a la Contraloría del Estado, el órgano de control del </w:t>
      </w:r>
      <w:r>
        <w:rPr>
          <w:rFonts w:ascii="Arial" w:eastAsia="Arial" w:hAnsi="Arial" w:cs="Arial"/>
        </w:rPr>
        <w:t>Poder Judicial, los Órganos de Control de la propia Contraloría del Estado, en los Municipios y en los Organismos Autónomos podrán aplicar, siendo estás, a criterio de la comisión permanente, la amonestación, la suspensión, destitución y la inhabilitación.</w:t>
      </w:r>
      <w:r>
        <w:rPr>
          <w:rFonts w:ascii="Arial" w:eastAsia="Arial" w:hAnsi="Arial" w:cs="Arial"/>
        </w:rPr>
        <w:t xml:space="preserve"> </w:t>
      </w:r>
    </w:p>
    <w:p w:rsidR="00CE34AD" w:rsidRDefault="00CE34AD">
      <w:pPr>
        <w:ind w:firstLine="709"/>
        <w:jc w:val="both"/>
        <w:rPr>
          <w:rFonts w:ascii="Arial" w:eastAsia="Arial" w:hAnsi="Arial" w:cs="Arial"/>
        </w:rPr>
      </w:pPr>
    </w:p>
    <w:p w:rsidR="00CE34AD" w:rsidRDefault="00B275C5">
      <w:pPr>
        <w:ind w:firstLine="709"/>
        <w:jc w:val="both"/>
        <w:rPr>
          <w:rFonts w:ascii="Arial" w:eastAsia="Arial" w:hAnsi="Arial" w:cs="Arial"/>
        </w:rPr>
      </w:pPr>
      <w:r>
        <w:rPr>
          <w:rFonts w:ascii="Arial" w:eastAsia="Arial" w:hAnsi="Arial" w:cs="Arial"/>
        </w:rPr>
        <w:t>Pudiendo solo aplicar una de ellas, con base a la falta o faltas acreditadas. En tal sentido, la norma local dispone lo siguiente:</w:t>
      </w:r>
    </w:p>
    <w:p w:rsidR="00CE34AD" w:rsidRDefault="00CE34AD">
      <w:pPr>
        <w:ind w:right="758"/>
        <w:jc w:val="both"/>
        <w:rPr>
          <w:rFonts w:ascii="Arial" w:eastAsia="Arial" w:hAnsi="Arial" w:cs="Arial"/>
          <w:i/>
          <w:sz w:val="18"/>
          <w:szCs w:val="18"/>
        </w:rPr>
      </w:pPr>
    </w:p>
    <w:p w:rsidR="00CE34AD" w:rsidRDefault="00B275C5">
      <w:pPr>
        <w:ind w:left="851" w:right="616"/>
        <w:jc w:val="both"/>
        <w:rPr>
          <w:rFonts w:ascii="Arial" w:eastAsia="Arial" w:hAnsi="Arial" w:cs="Arial"/>
          <w:b/>
          <w:i/>
          <w:sz w:val="18"/>
          <w:szCs w:val="18"/>
        </w:rPr>
      </w:pPr>
      <w:r>
        <w:rPr>
          <w:rFonts w:ascii="Arial" w:eastAsia="Arial" w:hAnsi="Arial" w:cs="Arial"/>
          <w:b/>
          <w:i/>
          <w:sz w:val="18"/>
          <w:szCs w:val="18"/>
        </w:rPr>
        <w:t>“Artículo 77.</w:t>
      </w:r>
      <w:r>
        <w:rPr>
          <w:rFonts w:ascii="Arial" w:eastAsia="Arial" w:hAnsi="Arial" w:cs="Arial"/>
          <w:i/>
          <w:sz w:val="18"/>
          <w:szCs w:val="18"/>
        </w:rPr>
        <w:t xml:space="preserve"> </w:t>
      </w:r>
      <w:r>
        <w:rPr>
          <w:rFonts w:ascii="Arial" w:eastAsia="Arial" w:hAnsi="Arial" w:cs="Arial"/>
          <w:b/>
          <w:i/>
          <w:sz w:val="18"/>
          <w:szCs w:val="18"/>
        </w:rPr>
        <w:t>Sanciones por faltas administrativas no graves.</w:t>
      </w:r>
    </w:p>
    <w:p w:rsidR="00CE34AD" w:rsidRDefault="00CE34AD">
      <w:pPr>
        <w:ind w:left="851" w:right="616"/>
        <w:jc w:val="both"/>
        <w:rPr>
          <w:rFonts w:ascii="Arial" w:eastAsia="Arial" w:hAnsi="Arial" w:cs="Arial"/>
          <w:b/>
          <w:i/>
          <w:sz w:val="18"/>
          <w:szCs w:val="18"/>
        </w:rPr>
      </w:pPr>
    </w:p>
    <w:p w:rsidR="00CE34AD" w:rsidRDefault="00B275C5">
      <w:pPr>
        <w:ind w:left="851" w:right="616"/>
        <w:jc w:val="both"/>
        <w:rPr>
          <w:rFonts w:ascii="Arial" w:eastAsia="Arial" w:hAnsi="Arial" w:cs="Arial"/>
          <w:i/>
          <w:sz w:val="18"/>
          <w:szCs w:val="18"/>
        </w:rPr>
      </w:pPr>
      <w:r>
        <w:rPr>
          <w:rFonts w:ascii="Arial" w:eastAsia="Arial" w:hAnsi="Arial" w:cs="Arial"/>
          <w:i/>
          <w:sz w:val="18"/>
          <w:szCs w:val="18"/>
        </w:rPr>
        <w:t xml:space="preserve">En los </w:t>
      </w:r>
      <w:r>
        <w:rPr>
          <w:rFonts w:ascii="Arial" w:eastAsia="Arial" w:hAnsi="Arial" w:cs="Arial"/>
          <w:b/>
          <w:i/>
          <w:sz w:val="18"/>
          <w:szCs w:val="18"/>
          <w:u w:val="single"/>
        </w:rPr>
        <w:t>casos de responsabilidades administrativas distintas a las que son competencia del Tribunal del Estado, la Contraloría del Estado, el órgano de control del Poder Judicial, los Órganos de Control de la propia Contraloría del Estado, en los Municipios y en l</w:t>
      </w:r>
      <w:r>
        <w:rPr>
          <w:rFonts w:ascii="Arial" w:eastAsia="Arial" w:hAnsi="Arial" w:cs="Arial"/>
          <w:b/>
          <w:i/>
          <w:sz w:val="18"/>
          <w:szCs w:val="18"/>
          <w:u w:val="single"/>
        </w:rPr>
        <w:t>os Organismos Autónomos</w:t>
      </w:r>
      <w:r>
        <w:rPr>
          <w:rFonts w:ascii="Arial" w:eastAsia="Arial" w:hAnsi="Arial" w:cs="Arial"/>
          <w:i/>
          <w:sz w:val="18"/>
          <w:szCs w:val="18"/>
        </w:rPr>
        <w:t xml:space="preserve"> impondrán las sanciones administrativas siguientes:</w:t>
      </w:r>
    </w:p>
    <w:p w:rsidR="00CE34AD" w:rsidRDefault="00CE34AD">
      <w:pPr>
        <w:ind w:left="851" w:right="616" w:firstLine="288"/>
        <w:jc w:val="both"/>
        <w:rPr>
          <w:rFonts w:ascii="Arial" w:eastAsia="Arial" w:hAnsi="Arial" w:cs="Arial"/>
          <w:i/>
          <w:sz w:val="18"/>
          <w:szCs w:val="18"/>
        </w:rPr>
      </w:pPr>
    </w:p>
    <w:p w:rsidR="00CE34AD" w:rsidRDefault="00B275C5">
      <w:pPr>
        <w:tabs>
          <w:tab w:val="left" w:pos="993"/>
        </w:tabs>
        <w:ind w:left="851" w:right="616" w:firstLine="577"/>
        <w:jc w:val="both"/>
        <w:rPr>
          <w:rFonts w:ascii="Arial" w:eastAsia="Arial" w:hAnsi="Arial" w:cs="Arial"/>
          <w:b/>
          <w:i/>
          <w:sz w:val="18"/>
          <w:szCs w:val="18"/>
        </w:rPr>
      </w:pPr>
      <w:r>
        <w:rPr>
          <w:rFonts w:ascii="Arial" w:eastAsia="Arial" w:hAnsi="Arial" w:cs="Arial"/>
          <w:b/>
          <w:i/>
          <w:sz w:val="18"/>
          <w:szCs w:val="18"/>
        </w:rPr>
        <w:t>I.</w:t>
      </w:r>
      <w:r>
        <w:rPr>
          <w:rFonts w:ascii="Arial" w:eastAsia="Arial" w:hAnsi="Arial" w:cs="Arial"/>
          <w:b/>
          <w:i/>
          <w:sz w:val="18"/>
          <w:szCs w:val="18"/>
        </w:rPr>
        <w:tab/>
        <w:t>Amonestación pública o privada;</w:t>
      </w:r>
    </w:p>
    <w:p w:rsidR="00CE34AD" w:rsidRDefault="00B275C5">
      <w:pPr>
        <w:tabs>
          <w:tab w:val="left" w:pos="993"/>
        </w:tabs>
        <w:ind w:left="851" w:right="616" w:firstLine="577"/>
        <w:jc w:val="both"/>
        <w:rPr>
          <w:rFonts w:ascii="Arial" w:eastAsia="Arial" w:hAnsi="Arial" w:cs="Arial"/>
          <w:i/>
          <w:sz w:val="18"/>
          <w:szCs w:val="18"/>
        </w:rPr>
      </w:pPr>
      <w:r>
        <w:rPr>
          <w:rFonts w:ascii="Arial" w:eastAsia="Arial" w:hAnsi="Arial" w:cs="Arial"/>
          <w:b/>
          <w:i/>
          <w:sz w:val="18"/>
          <w:szCs w:val="18"/>
        </w:rPr>
        <w:t>II.</w:t>
      </w:r>
      <w:r>
        <w:rPr>
          <w:rFonts w:ascii="Arial" w:eastAsia="Arial" w:hAnsi="Arial" w:cs="Arial"/>
          <w:b/>
          <w:i/>
          <w:sz w:val="18"/>
          <w:szCs w:val="18"/>
        </w:rPr>
        <w:tab/>
      </w:r>
      <w:r>
        <w:rPr>
          <w:rFonts w:ascii="Arial" w:eastAsia="Arial" w:hAnsi="Arial" w:cs="Arial"/>
          <w:i/>
          <w:sz w:val="18"/>
          <w:szCs w:val="18"/>
        </w:rPr>
        <w:t>Suspensión del empleo, cargo o comisión;</w:t>
      </w:r>
    </w:p>
    <w:p w:rsidR="00CE34AD" w:rsidRDefault="00B275C5">
      <w:pPr>
        <w:tabs>
          <w:tab w:val="left" w:pos="993"/>
        </w:tabs>
        <w:ind w:left="851" w:right="616" w:firstLine="577"/>
        <w:jc w:val="both"/>
        <w:rPr>
          <w:rFonts w:ascii="Arial" w:eastAsia="Arial" w:hAnsi="Arial" w:cs="Arial"/>
          <w:i/>
          <w:sz w:val="18"/>
          <w:szCs w:val="18"/>
        </w:rPr>
      </w:pPr>
      <w:r>
        <w:rPr>
          <w:rFonts w:ascii="Arial" w:eastAsia="Arial" w:hAnsi="Arial" w:cs="Arial"/>
          <w:b/>
          <w:i/>
          <w:sz w:val="18"/>
          <w:szCs w:val="18"/>
        </w:rPr>
        <w:t>III.</w:t>
      </w:r>
      <w:r>
        <w:rPr>
          <w:rFonts w:ascii="Arial" w:eastAsia="Arial" w:hAnsi="Arial" w:cs="Arial"/>
          <w:b/>
          <w:i/>
          <w:sz w:val="18"/>
          <w:szCs w:val="18"/>
        </w:rPr>
        <w:tab/>
      </w:r>
      <w:r>
        <w:rPr>
          <w:rFonts w:ascii="Arial" w:eastAsia="Arial" w:hAnsi="Arial" w:cs="Arial"/>
          <w:i/>
          <w:sz w:val="18"/>
          <w:szCs w:val="18"/>
        </w:rPr>
        <w:t>Destitución de su empleo, cargo o comisión, y</w:t>
      </w:r>
    </w:p>
    <w:p w:rsidR="00CE34AD" w:rsidRDefault="00B275C5">
      <w:pPr>
        <w:tabs>
          <w:tab w:val="left" w:pos="993"/>
        </w:tabs>
        <w:ind w:left="851" w:right="616" w:firstLine="577"/>
        <w:jc w:val="both"/>
        <w:rPr>
          <w:rFonts w:ascii="Arial" w:eastAsia="Arial" w:hAnsi="Arial" w:cs="Arial"/>
          <w:i/>
          <w:sz w:val="18"/>
          <w:szCs w:val="18"/>
        </w:rPr>
      </w:pPr>
      <w:r>
        <w:rPr>
          <w:rFonts w:ascii="Arial" w:eastAsia="Arial" w:hAnsi="Arial" w:cs="Arial"/>
          <w:b/>
          <w:i/>
          <w:sz w:val="18"/>
          <w:szCs w:val="18"/>
        </w:rPr>
        <w:t>IV.</w:t>
      </w:r>
      <w:r>
        <w:rPr>
          <w:rFonts w:ascii="Arial" w:eastAsia="Arial" w:hAnsi="Arial" w:cs="Arial"/>
          <w:b/>
          <w:i/>
          <w:sz w:val="18"/>
          <w:szCs w:val="18"/>
        </w:rPr>
        <w:tab/>
      </w:r>
      <w:r>
        <w:rPr>
          <w:rFonts w:ascii="Arial" w:eastAsia="Arial" w:hAnsi="Arial" w:cs="Arial"/>
          <w:i/>
          <w:sz w:val="18"/>
          <w:szCs w:val="18"/>
        </w:rPr>
        <w:t>Inhabilitación temporal para desempeñar empleos, cargos o comisiones en el servicio público y para participar en adquisiciones, arrendamientos, servicios u obras públicas.</w:t>
      </w:r>
    </w:p>
    <w:p w:rsidR="00CE34AD" w:rsidRDefault="00CE34AD">
      <w:pPr>
        <w:ind w:left="851" w:right="616" w:hanging="720"/>
        <w:jc w:val="both"/>
        <w:rPr>
          <w:rFonts w:ascii="Arial" w:eastAsia="Arial" w:hAnsi="Arial" w:cs="Arial"/>
          <w:i/>
          <w:sz w:val="18"/>
          <w:szCs w:val="18"/>
        </w:rPr>
      </w:pPr>
    </w:p>
    <w:p w:rsidR="00CE34AD" w:rsidRDefault="00B275C5">
      <w:pPr>
        <w:ind w:left="851" w:right="616"/>
        <w:jc w:val="both"/>
        <w:rPr>
          <w:rFonts w:ascii="Arial" w:eastAsia="Arial" w:hAnsi="Arial" w:cs="Arial"/>
          <w:i/>
          <w:sz w:val="18"/>
          <w:szCs w:val="18"/>
        </w:rPr>
      </w:pPr>
      <w:r>
        <w:rPr>
          <w:rFonts w:ascii="Arial" w:eastAsia="Arial" w:hAnsi="Arial" w:cs="Arial"/>
          <w:i/>
          <w:sz w:val="18"/>
          <w:szCs w:val="18"/>
        </w:rPr>
        <w:tab/>
        <w:t>La Contraloría del Estado, el órgano de control del Poder Judicial, los Órganos de</w:t>
      </w:r>
      <w:r>
        <w:rPr>
          <w:rFonts w:ascii="Arial" w:eastAsia="Arial" w:hAnsi="Arial" w:cs="Arial"/>
          <w:i/>
          <w:sz w:val="18"/>
          <w:szCs w:val="18"/>
        </w:rPr>
        <w:t xml:space="preserve"> Control de la propia Contraloría del Estado, en los Municipios y en los Organismos Autónomos podrán imponer una o más de las sanciones administrativas señaladas en este artículo, siempre y cuando sean compatibles entre ellas y de acuerdo a la trascendenci</w:t>
      </w:r>
      <w:r>
        <w:rPr>
          <w:rFonts w:ascii="Arial" w:eastAsia="Arial" w:hAnsi="Arial" w:cs="Arial"/>
          <w:i/>
          <w:sz w:val="18"/>
          <w:szCs w:val="18"/>
        </w:rPr>
        <w:t>a de la Falta administrativa no grave.</w:t>
      </w:r>
    </w:p>
    <w:p w:rsidR="00CE34AD" w:rsidRDefault="00CE34AD">
      <w:pPr>
        <w:ind w:left="851" w:right="616" w:firstLine="288"/>
        <w:jc w:val="both"/>
        <w:rPr>
          <w:rFonts w:ascii="Arial" w:eastAsia="Arial" w:hAnsi="Arial" w:cs="Arial"/>
          <w:i/>
          <w:sz w:val="18"/>
          <w:szCs w:val="18"/>
        </w:rPr>
      </w:pPr>
    </w:p>
    <w:p w:rsidR="00CE34AD" w:rsidRDefault="00B275C5">
      <w:pPr>
        <w:ind w:left="851" w:right="616"/>
        <w:jc w:val="both"/>
        <w:rPr>
          <w:rFonts w:ascii="Arial" w:eastAsia="Arial" w:hAnsi="Arial" w:cs="Arial"/>
          <w:i/>
          <w:sz w:val="18"/>
          <w:szCs w:val="18"/>
        </w:rPr>
      </w:pPr>
      <w:r>
        <w:rPr>
          <w:rFonts w:ascii="Arial" w:eastAsia="Arial" w:hAnsi="Arial" w:cs="Arial"/>
          <w:i/>
          <w:sz w:val="18"/>
          <w:szCs w:val="18"/>
        </w:rPr>
        <w:tab/>
        <w:t>La suspensión del empleo, cargo o comisión que se imponga podrá ser de uno a treinta días naturales.</w:t>
      </w:r>
    </w:p>
    <w:p w:rsidR="00CE34AD" w:rsidRDefault="00CE34AD">
      <w:pPr>
        <w:ind w:left="851" w:right="616" w:firstLine="288"/>
        <w:jc w:val="both"/>
        <w:rPr>
          <w:rFonts w:ascii="Arial" w:eastAsia="Arial" w:hAnsi="Arial" w:cs="Arial"/>
          <w:i/>
          <w:sz w:val="18"/>
          <w:szCs w:val="18"/>
        </w:rPr>
      </w:pPr>
    </w:p>
    <w:p w:rsidR="00CE34AD" w:rsidRDefault="00B275C5">
      <w:pPr>
        <w:ind w:left="851" w:right="616"/>
        <w:jc w:val="both"/>
        <w:rPr>
          <w:rFonts w:ascii="Arial" w:eastAsia="Arial" w:hAnsi="Arial" w:cs="Arial"/>
          <w:i/>
          <w:sz w:val="18"/>
          <w:szCs w:val="18"/>
        </w:rPr>
      </w:pPr>
      <w:r>
        <w:rPr>
          <w:rFonts w:ascii="Arial" w:eastAsia="Arial" w:hAnsi="Arial" w:cs="Arial"/>
          <w:i/>
          <w:sz w:val="18"/>
          <w:szCs w:val="18"/>
        </w:rPr>
        <w:tab/>
        <w:t>En caso de que se imponga como sanción la inhabilitación temporal, ésta no será menor de tres meses ni podrá exc</w:t>
      </w:r>
      <w:r>
        <w:rPr>
          <w:rFonts w:ascii="Arial" w:eastAsia="Arial" w:hAnsi="Arial" w:cs="Arial"/>
          <w:i/>
          <w:sz w:val="18"/>
          <w:szCs w:val="18"/>
        </w:rPr>
        <w:t>eder de un año”.</w:t>
      </w:r>
    </w:p>
    <w:p w:rsidR="00CE34AD" w:rsidRDefault="00CE34AD">
      <w:pPr>
        <w:ind w:right="616"/>
        <w:jc w:val="both"/>
        <w:rPr>
          <w:rFonts w:ascii="Arial" w:eastAsia="Arial" w:hAnsi="Arial" w:cs="Arial"/>
          <w:i/>
          <w:sz w:val="18"/>
          <w:szCs w:val="18"/>
        </w:rPr>
      </w:pPr>
    </w:p>
    <w:p w:rsidR="00CE34AD" w:rsidRDefault="00CE34AD">
      <w:pPr>
        <w:ind w:right="51" w:firstLine="709"/>
        <w:jc w:val="both"/>
        <w:rPr>
          <w:rFonts w:ascii="Arial" w:eastAsia="Arial" w:hAnsi="Arial" w:cs="Arial"/>
        </w:rPr>
      </w:pPr>
    </w:p>
    <w:p w:rsidR="00CE34AD" w:rsidRDefault="00B275C5">
      <w:pPr>
        <w:ind w:right="51" w:firstLine="709"/>
        <w:jc w:val="both"/>
        <w:rPr>
          <w:rFonts w:ascii="Arial" w:eastAsia="Arial" w:hAnsi="Arial" w:cs="Arial"/>
          <w:b/>
        </w:rPr>
      </w:pPr>
      <w:r>
        <w:rPr>
          <w:rFonts w:ascii="Arial" w:eastAsia="Arial" w:hAnsi="Arial" w:cs="Arial"/>
        </w:rPr>
        <w:t xml:space="preserve">Como se aprecia, la Comisión Permanente de Puntos Constitucionales y Gobernación, en su dictamen, </w:t>
      </w:r>
      <w:r>
        <w:rPr>
          <w:rFonts w:ascii="Arial" w:eastAsia="Arial" w:hAnsi="Arial" w:cs="Arial"/>
          <w:b/>
        </w:rPr>
        <w:t>debe enfocarse solamente a identificar la falta administrativa, así como proponer la sanción aplicable al caso.</w:t>
      </w:r>
    </w:p>
    <w:p w:rsidR="00CE34AD" w:rsidRDefault="00CE34AD">
      <w:pPr>
        <w:ind w:left="851" w:right="49"/>
        <w:jc w:val="both"/>
        <w:rPr>
          <w:rFonts w:ascii="Arial" w:eastAsia="Arial" w:hAnsi="Arial" w:cs="Arial"/>
          <w:i/>
        </w:rPr>
      </w:pPr>
    </w:p>
    <w:p w:rsidR="00CE34AD" w:rsidRDefault="00CE34AD">
      <w:pPr>
        <w:ind w:left="851" w:right="49"/>
        <w:jc w:val="both"/>
        <w:rPr>
          <w:rFonts w:ascii="Arial" w:eastAsia="Arial" w:hAnsi="Arial" w:cs="Arial"/>
          <w:i/>
        </w:rPr>
      </w:pPr>
    </w:p>
    <w:p w:rsidR="00CE34AD" w:rsidRDefault="00B275C5">
      <w:pPr>
        <w:numPr>
          <w:ilvl w:val="0"/>
          <w:numId w:val="6"/>
        </w:numPr>
        <w:pBdr>
          <w:top w:val="nil"/>
          <w:left w:val="nil"/>
          <w:bottom w:val="nil"/>
          <w:right w:val="nil"/>
          <w:between w:val="nil"/>
        </w:pBdr>
        <w:ind w:right="616"/>
        <w:jc w:val="both"/>
        <w:rPr>
          <w:rFonts w:ascii="Arial" w:eastAsia="Arial" w:hAnsi="Arial" w:cs="Arial"/>
          <w:i/>
        </w:rPr>
      </w:pPr>
      <w:r>
        <w:rPr>
          <w:rFonts w:ascii="Arial" w:eastAsia="Arial" w:hAnsi="Arial" w:cs="Arial"/>
          <w:i/>
        </w:rPr>
        <w:t xml:space="preserve">Elementos subjetivos para establecer la sanción. </w:t>
      </w:r>
    </w:p>
    <w:p w:rsidR="00CE34AD" w:rsidRDefault="00CE34AD">
      <w:pPr>
        <w:ind w:right="616"/>
        <w:jc w:val="both"/>
        <w:rPr>
          <w:rFonts w:ascii="Arial" w:eastAsia="Arial" w:hAnsi="Arial" w:cs="Arial"/>
          <w:i/>
        </w:rPr>
      </w:pPr>
    </w:p>
    <w:p w:rsidR="00CE34AD" w:rsidRDefault="00CE34AD">
      <w:pPr>
        <w:ind w:right="616"/>
        <w:jc w:val="both"/>
        <w:rPr>
          <w:rFonts w:ascii="Arial" w:eastAsia="Arial" w:hAnsi="Arial" w:cs="Arial"/>
          <w:i/>
          <w:sz w:val="18"/>
          <w:szCs w:val="18"/>
        </w:rPr>
      </w:pPr>
    </w:p>
    <w:p w:rsidR="00CE34AD" w:rsidRDefault="00B275C5">
      <w:pPr>
        <w:ind w:right="51" w:firstLine="709"/>
        <w:jc w:val="both"/>
        <w:rPr>
          <w:rFonts w:ascii="Arial" w:eastAsia="Arial" w:hAnsi="Arial" w:cs="Arial"/>
        </w:rPr>
      </w:pPr>
      <w:r>
        <w:rPr>
          <w:rFonts w:ascii="Arial" w:eastAsia="Arial" w:hAnsi="Arial" w:cs="Arial"/>
        </w:rPr>
        <w:t>Ahora bien, el órgano legislativo dictaminador tiene la obligación de analizar los elementos subjetivos al momento de proponer la sanción por la falta administrativa, tales como el nivel jerárquico; antig</w:t>
      </w:r>
      <w:r>
        <w:rPr>
          <w:rFonts w:ascii="Arial" w:eastAsia="Arial" w:hAnsi="Arial" w:cs="Arial"/>
        </w:rPr>
        <w:t>üedad en el servicio público; los antecedentes; las condiciones y medios que se usaron para la comisión de la infracción y, la reincidencia. Lo anterior se encuentra previsto en el artículo 78 de la Ley de Responsabilidades Administrativas del Estado de Yu</w:t>
      </w:r>
      <w:r>
        <w:rPr>
          <w:rFonts w:ascii="Arial" w:eastAsia="Arial" w:hAnsi="Arial" w:cs="Arial"/>
        </w:rPr>
        <w:t xml:space="preserve">catán. </w:t>
      </w:r>
    </w:p>
    <w:p w:rsidR="00CE34AD" w:rsidRDefault="00CE34AD">
      <w:pPr>
        <w:ind w:left="851" w:right="49"/>
        <w:jc w:val="both"/>
        <w:rPr>
          <w:rFonts w:ascii="Arial" w:eastAsia="Arial" w:hAnsi="Arial" w:cs="Arial"/>
          <w:i/>
          <w:sz w:val="18"/>
          <w:szCs w:val="18"/>
        </w:rPr>
      </w:pPr>
    </w:p>
    <w:p w:rsidR="00CE34AD" w:rsidRDefault="00CE34AD">
      <w:pPr>
        <w:ind w:left="1134" w:right="616"/>
        <w:jc w:val="both"/>
        <w:rPr>
          <w:rFonts w:ascii="Arial" w:eastAsia="Arial" w:hAnsi="Arial" w:cs="Arial"/>
          <w:i/>
          <w:sz w:val="14"/>
          <w:szCs w:val="14"/>
        </w:rPr>
      </w:pPr>
    </w:p>
    <w:p w:rsidR="00CE34AD" w:rsidRDefault="00CE34AD">
      <w:pPr>
        <w:ind w:left="1134" w:right="616" w:firstLine="288"/>
        <w:jc w:val="both"/>
        <w:rPr>
          <w:rFonts w:ascii="Arial" w:eastAsia="Arial" w:hAnsi="Arial" w:cs="Arial"/>
          <w:i/>
          <w:sz w:val="14"/>
          <w:szCs w:val="14"/>
        </w:rPr>
      </w:pPr>
    </w:p>
    <w:p w:rsidR="00CE34AD" w:rsidRDefault="00B275C5">
      <w:pPr>
        <w:ind w:left="1134" w:right="758"/>
        <w:jc w:val="both"/>
        <w:rPr>
          <w:rFonts w:ascii="Arial" w:eastAsia="Arial" w:hAnsi="Arial" w:cs="Arial"/>
          <w:b/>
          <w:i/>
          <w:sz w:val="18"/>
          <w:szCs w:val="18"/>
        </w:rPr>
      </w:pPr>
      <w:r>
        <w:rPr>
          <w:rFonts w:ascii="Arial" w:eastAsia="Arial" w:hAnsi="Arial" w:cs="Arial"/>
          <w:b/>
          <w:i/>
          <w:sz w:val="18"/>
          <w:szCs w:val="18"/>
        </w:rPr>
        <w:t>Artículo 78. Elementos subjetivos para determinar sanciones por faltas administrativas no graves.</w:t>
      </w:r>
    </w:p>
    <w:p w:rsidR="00CE34AD" w:rsidRDefault="00CE34AD">
      <w:pPr>
        <w:ind w:left="1134" w:right="758"/>
        <w:jc w:val="both"/>
        <w:rPr>
          <w:rFonts w:ascii="Arial" w:eastAsia="Arial" w:hAnsi="Arial" w:cs="Arial"/>
          <w:b/>
          <w:i/>
          <w:sz w:val="18"/>
          <w:szCs w:val="18"/>
        </w:rPr>
      </w:pPr>
    </w:p>
    <w:p w:rsidR="00CE34AD" w:rsidRDefault="00B275C5">
      <w:pPr>
        <w:ind w:left="1134" w:right="758"/>
        <w:jc w:val="both"/>
        <w:rPr>
          <w:rFonts w:ascii="Arial" w:eastAsia="Arial" w:hAnsi="Arial" w:cs="Arial"/>
          <w:b/>
          <w:i/>
          <w:sz w:val="18"/>
          <w:szCs w:val="18"/>
        </w:rPr>
      </w:pPr>
      <w:r>
        <w:rPr>
          <w:rFonts w:ascii="Arial" w:eastAsia="Arial" w:hAnsi="Arial" w:cs="Arial"/>
          <w:i/>
          <w:sz w:val="18"/>
          <w:szCs w:val="18"/>
        </w:rPr>
        <w:t>Para la imposición de las sanciones a que se refiere el artículo anterior se deberán considerar los elementos del empleo, cargo o comisión que des</w:t>
      </w:r>
      <w:r>
        <w:rPr>
          <w:rFonts w:ascii="Arial" w:eastAsia="Arial" w:hAnsi="Arial" w:cs="Arial"/>
          <w:i/>
          <w:sz w:val="18"/>
          <w:szCs w:val="18"/>
        </w:rPr>
        <w:t>empeñaba el servidor público cuando incurrió en la falta, así como los siguientes:</w:t>
      </w:r>
    </w:p>
    <w:p w:rsidR="00CE34AD" w:rsidRDefault="00CE34AD">
      <w:pPr>
        <w:ind w:left="1134" w:right="758" w:firstLine="288"/>
        <w:jc w:val="both"/>
        <w:rPr>
          <w:rFonts w:ascii="Arial" w:eastAsia="Arial" w:hAnsi="Arial" w:cs="Arial"/>
          <w:i/>
          <w:sz w:val="18"/>
          <w:szCs w:val="18"/>
        </w:rPr>
      </w:pPr>
    </w:p>
    <w:p w:rsidR="00CE34AD" w:rsidRDefault="00B275C5">
      <w:pPr>
        <w:tabs>
          <w:tab w:val="left" w:pos="1134"/>
        </w:tabs>
        <w:ind w:left="1134" w:right="758" w:firstLine="709"/>
        <w:jc w:val="both"/>
        <w:rPr>
          <w:rFonts w:ascii="Arial" w:eastAsia="Arial" w:hAnsi="Arial" w:cs="Arial"/>
          <w:i/>
          <w:sz w:val="18"/>
          <w:szCs w:val="18"/>
        </w:rPr>
      </w:pPr>
      <w:r>
        <w:rPr>
          <w:rFonts w:ascii="Arial" w:eastAsia="Arial" w:hAnsi="Arial" w:cs="Arial"/>
          <w:b/>
          <w:i/>
          <w:sz w:val="18"/>
          <w:szCs w:val="18"/>
        </w:rPr>
        <w:t>I.</w:t>
      </w:r>
      <w:r>
        <w:rPr>
          <w:rFonts w:ascii="Arial" w:eastAsia="Arial" w:hAnsi="Arial" w:cs="Arial"/>
          <w:b/>
          <w:i/>
          <w:sz w:val="18"/>
          <w:szCs w:val="18"/>
        </w:rPr>
        <w:tab/>
      </w:r>
      <w:r>
        <w:rPr>
          <w:rFonts w:ascii="Arial" w:eastAsia="Arial" w:hAnsi="Arial" w:cs="Arial"/>
          <w:i/>
          <w:sz w:val="18"/>
          <w:szCs w:val="18"/>
        </w:rPr>
        <w:t>El nivel jerárquico y los antecedentes del infractor, entre ellos, la antigüedad en el servicio;</w:t>
      </w:r>
    </w:p>
    <w:p w:rsidR="00CE34AD" w:rsidRDefault="00B275C5">
      <w:pPr>
        <w:tabs>
          <w:tab w:val="left" w:pos="1134"/>
        </w:tabs>
        <w:ind w:left="1134" w:right="758" w:firstLine="709"/>
        <w:jc w:val="both"/>
        <w:rPr>
          <w:rFonts w:ascii="Arial" w:eastAsia="Arial" w:hAnsi="Arial" w:cs="Arial"/>
          <w:i/>
          <w:sz w:val="18"/>
          <w:szCs w:val="18"/>
        </w:rPr>
      </w:pPr>
      <w:r>
        <w:rPr>
          <w:rFonts w:ascii="Arial" w:eastAsia="Arial" w:hAnsi="Arial" w:cs="Arial"/>
          <w:b/>
          <w:i/>
          <w:sz w:val="18"/>
          <w:szCs w:val="18"/>
        </w:rPr>
        <w:t>II.</w:t>
      </w:r>
      <w:r>
        <w:rPr>
          <w:rFonts w:ascii="Arial" w:eastAsia="Arial" w:hAnsi="Arial" w:cs="Arial"/>
          <w:b/>
          <w:i/>
          <w:sz w:val="18"/>
          <w:szCs w:val="18"/>
        </w:rPr>
        <w:tab/>
      </w:r>
      <w:r>
        <w:rPr>
          <w:rFonts w:ascii="Arial" w:eastAsia="Arial" w:hAnsi="Arial" w:cs="Arial"/>
          <w:i/>
          <w:sz w:val="18"/>
          <w:szCs w:val="18"/>
        </w:rPr>
        <w:t>Las condiciones exteriores y los medios de ejecución, y</w:t>
      </w:r>
    </w:p>
    <w:p w:rsidR="00CE34AD" w:rsidRDefault="00B275C5">
      <w:pPr>
        <w:tabs>
          <w:tab w:val="left" w:pos="1134"/>
        </w:tabs>
        <w:ind w:left="1134" w:right="758" w:firstLine="709"/>
        <w:jc w:val="both"/>
        <w:rPr>
          <w:rFonts w:ascii="Arial" w:eastAsia="Arial" w:hAnsi="Arial" w:cs="Arial"/>
          <w:i/>
          <w:sz w:val="18"/>
          <w:szCs w:val="18"/>
        </w:rPr>
      </w:pPr>
      <w:r>
        <w:rPr>
          <w:rFonts w:ascii="Arial" w:eastAsia="Arial" w:hAnsi="Arial" w:cs="Arial"/>
          <w:b/>
          <w:i/>
          <w:sz w:val="18"/>
          <w:szCs w:val="18"/>
        </w:rPr>
        <w:t>III.</w:t>
      </w:r>
      <w:r>
        <w:rPr>
          <w:rFonts w:ascii="Arial" w:eastAsia="Arial" w:hAnsi="Arial" w:cs="Arial"/>
          <w:b/>
          <w:i/>
          <w:sz w:val="18"/>
          <w:szCs w:val="18"/>
        </w:rPr>
        <w:tab/>
      </w:r>
      <w:r>
        <w:rPr>
          <w:rFonts w:ascii="Arial" w:eastAsia="Arial" w:hAnsi="Arial" w:cs="Arial"/>
          <w:i/>
          <w:sz w:val="18"/>
          <w:szCs w:val="18"/>
        </w:rPr>
        <w:t>La reincidencia en el incumplimiento de obligaciones.</w:t>
      </w:r>
    </w:p>
    <w:p w:rsidR="00CE34AD" w:rsidRDefault="00CE34AD">
      <w:pPr>
        <w:ind w:left="1134" w:right="758"/>
        <w:jc w:val="both"/>
        <w:rPr>
          <w:rFonts w:ascii="Arial" w:eastAsia="Arial" w:hAnsi="Arial" w:cs="Arial"/>
          <w:i/>
          <w:sz w:val="18"/>
          <w:szCs w:val="18"/>
        </w:rPr>
      </w:pPr>
    </w:p>
    <w:p w:rsidR="00CE34AD" w:rsidRDefault="00B275C5">
      <w:pPr>
        <w:ind w:left="1134" w:right="758"/>
        <w:jc w:val="both"/>
        <w:rPr>
          <w:rFonts w:ascii="Arial" w:eastAsia="Arial" w:hAnsi="Arial" w:cs="Arial"/>
          <w:i/>
          <w:sz w:val="18"/>
          <w:szCs w:val="18"/>
        </w:rPr>
      </w:pPr>
      <w:r>
        <w:rPr>
          <w:rFonts w:ascii="Arial" w:eastAsia="Arial" w:hAnsi="Arial" w:cs="Arial"/>
          <w:i/>
          <w:sz w:val="18"/>
          <w:szCs w:val="18"/>
        </w:rPr>
        <w:tab/>
        <w:t>En caso de reincidencia de Faltas administrativas no graves, la sanción que se imponga no podrá ser igual o menor a la impuesta con anterioridad.</w:t>
      </w:r>
    </w:p>
    <w:p w:rsidR="00CE34AD" w:rsidRDefault="00CE34AD">
      <w:pPr>
        <w:ind w:left="1134" w:right="758" w:firstLine="288"/>
        <w:jc w:val="both"/>
        <w:rPr>
          <w:rFonts w:ascii="Arial" w:eastAsia="Arial" w:hAnsi="Arial" w:cs="Arial"/>
          <w:i/>
          <w:sz w:val="18"/>
          <w:szCs w:val="18"/>
        </w:rPr>
      </w:pPr>
    </w:p>
    <w:p w:rsidR="00CE34AD" w:rsidRDefault="00B275C5">
      <w:pPr>
        <w:ind w:left="1134" w:right="758"/>
        <w:jc w:val="both"/>
        <w:rPr>
          <w:rFonts w:ascii="Arial" w:eastAsia="Arial" w:hAnsi="Arial" w:cs="Arial"/>
          <w:i/>
          <w:sz w:val="18"/>
          <w:szCs w:val="18"/>
        </w:rPr>
      </w:pPr>
      <w:r>
        <w:rPr>
          <w:rFonts w:ascii="Arial" w:eastAsia="Arial" w:hAnsi="Arial" w:cs="Arial"/>
          <w:i/>
          <w:sz w:val="18"/>
          <w:szCs w:val="18"/>
        </w:rPr>
        <w:tab/>
        <w:t>Se considerará reincidente al que habiendo incurrido</w:t>
      </w:r>
      <w:r>
        <w:rPr>
          <w:rFonts w:ascii="Arial" w:eastAsia="Arial" w:hAnsi="Arial" w:cs="Arial"/>
          <w:i/>
          <w:sz w:val="18"/>
          <w:szCs w:val="18"/>
        </w:rPr>
        <w:t xml:space="preserve"> en una infracción que haya sido sancionada y hubiere causado ejecutoria, cometa otra del mismo tipo.</w:t>
      </w:r>
    </w:p>
    <w:p w:rsidR="00CE34AD" w:rsidRDefault="00CE34AD">
      <w:pPr>
        <w:ind w:firstLine="288"/>
        <w:jc w:val="both"/>
        <w:rPr>
          <w:rFonts w:ascii="Arial" w:eastAsia="Arial" w:hAnsi="Arial" w:cs="Arial"/>
          <w:i/>
          <w:sz w:val="18"/>
          <w:szCs w:val="18"/>
        </w:rPr>
      </w:pPr>
    </w:p>
    <w:p w:rsidR="00CE34AD" w:rsidRDefault="00B275C5">
      <w:pPr>
        <w:ind w:firstLine="709"/>
        <w:jc w:val="both"/>
        <w:rPr>
          <w:rFonts w:ascii="Arial" w:eastAsia="Arial" w:hAnsi="Arial" w:cs="Arial"/>
        </w:rPr>
      </w:pPr>
      <w:r>
        <w:rPr>
          <w:rFonts w:ascii="Arial" w:eastAsia="Arial" w:hAnsi="Arial" w:cs="Arial"/>
        </w:rPr>
        <w:t>Para los fines del presente documento, el artículo 79 de la multicitada Ley de Responsabilidades Administrativas local establece y define los criterios d</w:t>
      </w:r>
      <w:r>
        <w:rPr>
          <w:rFonts w:ascii="Arial" w:eastAsia="Arial" w:hAnsi="Arial" w:cs="Arial"/>
        </w:rPr>
        <w:t>e las sanciones para faltas administrativas no graves, de los cuales, se desprende que en este caso, es viable apegarnos al numeral 2 del referido artículo, el cual expresa lo siguiente:</w:t>
      </w:r>
    </w:p>
    <w:p w:rsidR="00CE34AD" w:rsidRDefault="00CE34AD">
      <w:pPr>
        <w:ind w:firstLine="709"/>
        <w:jc w:val="both"/>
        <w:rPr>
          <w:rFonts w:ascii="Arial" w:eastAsia="Arial" w:hAnsi="Arial" w:cs="Arial"/>
        </w:rPr>
      </w:pPr>
    </w:p>
    <w:p w:rsidR="00CE34AD" w:rsidRDefault="00B275C5">
      <w:pPr>
        <w:numPr>
          <w:ilvl w:val="0"/>
          <w:numId w:val="4"/>
        </w:numPr>
        <w:pBdr>
          <w:top w:val="nil"/>
          <w:left w:val="nil"/>
          <w:bottom w:val="nil"/>
          <w:right w:val="nil"/>
          <w:between w:val="nil"/>
        </w:pBdr>
        <w:jc w:val="both"/>
        <w:rPr>
          <w:rFonts w:ascii="Arial" w:eastAsia="Arial" w:hAnsi="Arial" w:cs="Arial"/>
          <w:b/>
          <w:i/>
          <w:sz w:val="18"/>
          <w:szCs w:val="18"/>
        </w:rPr>
      </w:pPr>
      <w:r>
        <w:rPr>
          <w:rFonts w:ascii="Arial" w:eastAsia="Arial" w:hAnsi="Arial" w:cs="Arial"/>
          <w:i/>
          <w:sz w:val="18"/>
          <w:szCs w:val="18"/>
        </w:rPr>
        <w:t xml:space="preserve">La amonestación pública procederá cuando el servidor público </w:t>
      </w:r>
      <w:r>
        <w:rPr>
          <w:rFonts w:ascii="Arial" w:eastAsia="Arial" w:hAnsi="Arial" w:cs="Arial"/>
          <w:b/>
          <w:i/>
          <w:sz w:val="18"/>
          <w:szCs w:val="18"/>
        </w:rPr>
        <w:t>tenga a</w:t>
      </w:r>
      <w:r>
        <w:rPr>
          <w:rFonts w:ascii="Arial" w:eastAsia="Arial" w:hAnsi="Arial" w:cs="Arial"/>
          <w:b/>
          <w:i/>
          <w:sz w:val="18"/>
          <w:szCs w:val="18"/>
        </w:rPr>
        <w:t xml:space="preserve">ntecedente </w:t>
      </w:r>
      <w:r>
        <w:rPr>
          <w:rFonts w:ascii="Arial" w:eastAsia="Arial" w:hAnsi="Arial" w:cs="Arial"/>
          <w:i/>
          <w:sz w:val="18"/>
          <w:szCs w:val="18"/>
        </w:rPr>
        <w:t xml:space="preserve">de haber cometido una falta administrativa con sanción firme y se tenga una antigüedad en el servicio mayor de dos y menor de cinco años, </w:t>
      </w:r>
      <w:r>
        <w:rPr>
          <w:rFonts w:ascii="Arial" w:eastAsia="Arial" w:hAnsi="Arial" w:cs="Arial"/>
          <w:b/>
          <w:i/>
          <w:sz w:val="18"/>
          <w:szCs w:val="18"/>
        </w:rPr>
        <w:t>que de las condiciones exteriores y medios de ejecución no se aprecie una conducta dolosa</w:t>
      </w:r>
      <w:r>
        <w:rPr>
          <w:rFonts w:ascii="Arial" w:eastAsia="Arial" w:hAnsi="Arial" w:cs="Arial"/>
          <w:i/>
          <w:sz w:val="18"/>
          <w:szCs w:val="18"/>
        </w:rPr>
        <w:t xml:space="preserve"> o cuando exista r</w:t>
      </w:r>
      <w:r>
        <w:rPr>
          <w:rFonts w:ascii="Arial" w:eastAsia="Arial" w:hAnsi="Arial" w:cs="Arial"/>
          <w:i/>
          <w:sz w:val="18"/>
          <w:szCs w:val="18"/>
        </w:rPr>
        <w:t>eincidencia y la sanción impuesta con anterioridad consistió en una amonestación privada.</w:t>
      </w:r>
    </w:p>
    <w:p w:rsidR="00CE34AD" w:rsidRDefault="00CE34AD">
      <w:pPr>
        <w:ind w:firstLine="709"/>
        <w:jc w:val="both"/>
        <w:rPr>
          <w:rFonts w:ascii="Arial" w:eastAsia="Arial" w:hAnsi="Arial" w:cs="Arial"/>
          <w:b/>
        </w:rPr>
      </w:pPr>
    </w:p>
    <w:p w:rsidR="00CE34AD" w:rsidRDefault="00B275C5">
      <w:pPr>
        <w:ind w:firstLine="720"/>
        <w:jc w:val="both"/>
        <w:rPr>
          <w:rFonts w:ascii="Arial" w:eastAsia="Arial" w:hAnsi="Arial" w:cs="Arial"/>
          <w:b/>
        </w:rPr>
      </w:pPr>
      <w:r>
        <w:rPr>
          <w:rFonts w:ascii="Arial" w:eastAsia="Arial" w:hAnsi="Arial" w:cs="Arial"/>
        </w:rPr>
        <w:t>Bajo esta lógica, y al ser un hecho público, se aprecia que el C. Mauricio Vila Dosal como servidor público tiene un antecedente de infracción electoral aplicada por</w:t>
      </w:r>
      <w:r>
        <w:rPr>
          <w:rFonts w:ascii="Arial" w:eastAsia="Arial" w:hAnsi="Arial" w:cs="Arial"/>
        </w:rPr>
        <w:t xml:space="preserve"> el Cabildo del Ayuntamiento de Mérida</w:t>
      </w:r>
      <w:r>
        <w:rPr>
          <w:rFonts w:ascii="Arial" w:eastAsia="Arial" w:hAnsi="Arial" w:cs="Arial"/>
          <w:vertAlign w:val="superscript"/>
        </w:rPr>
        <w:footnoteReference w:id="2"/>
      </w:r>
      <w:r>
        <w:rPr>
          <w:rFonts w:ascii="Arial" w:eastAsia="Arial" w:hAnsi="Arial" w:cs="Arial"/>
        </w:rPr>
        <w:t xml:space="preserve"> la cual, a criterio de este cuerpo colegiado, no satisface las características de la reincidencia al no tratarse del mismo tipo de infracción en términos del artículo 78 del ordenamiento en cita y por la que le fuera</w:t>
      </w:r>
      <w:r>
        <w:rPr>
          <w:rFonts w:ascii="Arial" w:eastAsia="Arial" w:hAnsi="Arial" w:cs="Arial"/>
        </w:rPr>
        <w:t xml:space="preserve"> aplicada una amonestación privada; asimismo, de la lectura íntegra de la sentencia del Tribunal Electoral del Estado de Yucatán, </w:t>
      </w:r>
      <w:r>
        <w:rPr>
          <w:rFonts w:ascii="Arial" w:eastAsia="Arial" w:hAnsi="Arial" w:cs="Arial"/>
          <w:b/>
        </w:rPr>
        <w:t xml:space="preserve">no se aprecia ninguna referencia a que las conductas resueltas, en su comisión, puedan considerarse como dolosas. </w:t>
      </w:r>
    </w:p>
    <w:p w:rsidR="00CE34AD" w:rsidRDefault="00CE34AD">
      <w:pPr>
        <w:ind w:firstLine="720"/>
        <w:jc w:val="both"/>
        <w:rPr>
          <w:rFonts w:ascii="Arial" w:eastAsia="Arial" w:hAnsi="Arial" w:cs="Arial"/>
        </w:rPr>
      </w:pPr>
    </w:p>
    <w:p w:rsidR="00CE34AD" w:rsidRDefault="00B275C5">
      <w:pPr>
        <w:ind w:firstLine="720"/>
        <w:jc w:val="both"/>
        <w:rPr>
          <w:rFonts w:ascii="Arial" w:eastAsia="Arial" w:hAnsi="Arial" w:cs="Arial"/>
          <w:b/>
        </w:rPr>
      </w:pPr>
      <w:r>
        <w:rPr>
          <w:rFonts w:ascii="Arial" w:eastAsia="Arial" w:hAnsi="Arial" w:cs="Arial"/>
        </w:rPr>
        <w:t xml:space="preserve">Ahora bien, en cuanto al elemento de antigüedad, es público y notorio que el Gobernador del Estado de Yucatán, a la fecha, </w:t>
      </w:r>
      <w:r>
        <w:rPr>
          <w:rFonts w:ascii="Arial" w:eastAsia="Arial" w:hAnsi="Arial" w:cs="Arial"/>
          <w:b/>
        </w:rPr>
        <w:t>lleva desempeñados 3 años</w:t>
      </w:r>
      <w:r>
        <w:rPr>
          <w:rFonts w:ascii="Arial" w:eastAsia="Arial" w:hAnsi="Arial" w:cs="Arial"/>
        </w:rPr>
        <w:t xml:space="preserve"> del mandato constitucional 2018-2024, </w:t>
      </w:r>
      <w:r>
        <w:rPr>
          <w:rFonts w:ascii="Arial" w:eastAsia="Arial" w:hAnsi="Arial" w:cs="Arial"/>
          <w:b/>
        </w:rPr>
        <w:t>por lo que se actualiza el supuesto temporal relativo a contar una an</w:t>
      </w:r>
      <w:r>
        <w:rPr>
          <w:rFonts w:ascii="Arial" w:eastAsia="Arial" w:hAnsi="Arial" w:cs="Arial"/>
          <w:b/>
        </w:rPr>
        <w:t xml:space="preserve">tigüedad mayor de 2 años y menor de 5 años en el servicio público del actual cargo. </w:t>
      </w:r>
    </w:p>
    <w:p w:rsidR="00CE34AD" w:rsidRDefault="00CE34AD">
      <w:pPr>
        <w:ind w:firstLine="720"/>
        <w:jc w:val="both"/>
        <w:rPr>
          <w:rFonts w:ascii="Arial" w:eastAsia="Arial" w:hAnsi="Arial" w:cs="Arial"/>
        </w:rPr>
      </w:pPr>
    </w:p>
    <w:p w:rsidR="00CE34AD" w:rsidRDefault="00B275C5">
      <w:pPr>
        <w:ind w:firstLine="720"/>
        <w:jc w:val="both"/>
        <w:rPr>
          <w:rFonts w:ascii="Arial" w:eastAsia="Arial" w:hAnsi="Arial" w:cs="Arial"/>
        </w:rPr>
      </w:pPr>
      <w:r>
        <w:rPr>
          <w:rFonts w:ascii="Arial" w:eastAsia="Arial" w:hAnsi="Arial" w:cs="Arial"/>
        </w:rPr>
        <w:t>Estos elementos, nos permiten aseverar que al contar con un antecedente de amonestación privada, lo correspondiente es aplicar una amonestación pública como parte del cum</w:t>
      </w:r>
      <w:r>
        <w:rPr>
          <w:rFonts w:ascii="Arial" w:eastAsia="Arial" w:hAnsi="Arial" w:cs="Arial"/>
        </w:rPr>
        <w:t xml:space="preserve">plimiento a lo ordenado por el TEEY. </w:t>
      </w:r>
    </w:p>
    <w:p w:rsidR="00CE34AD" w:rsidRDefault="00CE34AD">
      <w:pPr>
        <w:ind w:firstLine="720"/>
        <w:jc w:val="both"/>
        <w:rPr>
          <w:rFonts w:ascii="Arial" w:eastAsia="Arial" w:hAnsi="Arial" w:cs="Arial"/>
        </w:rPr>
      </w:pPr>
    </w:p>
    <w:p w:rsidR="00CE34AD" w:rsidRDefault="00B275C5">
      <w:pPr>
        <w:numPr>
          <w:ilvl w:val="0"/>
          <w:numId w:val="8"/>
        </w:numPr>
        <w:pBdr>
          <w:top w:val="nil"/>
          <w:left w:val="nil"/>
          <w:bottom w:val="nil"/>
          <w:right w:val="nil"/>
          <w:between w:val="nil"/>
        </w:pBdr>
        <w:spacing w:after="160" w:line="259" w:lineRule="auto"/>
        <w:ind w:right="49" w:hanging="720"/>
        <w:jc w:val="center"/>
        <w:rPr>
          <w:rFonts w:ascii="Arial" w:eastAsia="Arial" w:hAnsi="Arial" w:cs="Arial"/>
          <w:sz w:val="28"/>
          <w:szCs w:val="28"/>
        </w:rPr>
      </w:pPr>
      <w:r>
        <w:rPr>
          <w:rFonts w:ascii="Arial" w:eastAsia="Arial" w:hAnsi="Arial" w:cs="Arial"/>
          <w:b/>
        </w:rPr>
        <w:t>APLICACIÓN DE LA SANCIÓN EN TÉRMINOS DE LA LEY DE RESPONSABILIDADES ADMINISTRATIVAS DEL ESTADO DE YUCATÁN.</w:t>
      </w:r>
    </w:p>
    <w:p w:rsidR="00CE34AD" w:rsidRDefault="00B275C5">
      <w:pPr>
        <w:ind w:right="51" w:firstLine="709"/>
        <w:jc w:val="both"/>
        <w:rPr>
          <w:rFonts w:ascii="Arial" w:eastAsia="Arial" w:hAnsi="Arial" w:cs="Arial"/>
        </w:rPr>
      </w:pPr>
      <w:r>
        <w:rPr>
          <w:rFonts w:ascii="Arial" w:eastAsia="Arial" w:hAnsi="Arial" w:cs="Arial"/>
        </w:rPr>
        <w:t xml:space="preserve">Como se ha dicho, la Comisión Permanente de Puntos Constitucionales y Gobernación se encuentra facultada para </w:t>
      </w:r>
      <w:r>
        <w:rPr>
          <w:rFonts w:ascii="Arial" w:eastAsia="Arial" w:hAnsi="Arial" w:cs="Arial"/>
        </w:rPr>
        <w:t xml:space="preserve">dictaminar respecto la falta administrativa y la consecuente sanción. </w:t>
      </w:r>
    </w:p>
    <w:p w:rsidR="00CE34AD" w:rsidRDefault="00B275C5">
      <w:pPr>
        <w:tabs>
          <w:tab w:val="left" w:pos="6426"/>
        </w:tabs>
        <w:ind w:right="49"/>
        <w:jc w:val="both"/>
        <w:rPr>
          <w:rFonts w:ascii="Arial" w:eastAsia="Arial" w:hAnsi="Arial" w:cs="Arial"/>
        </w:rPr>
      </w:pPr>
      <w:r>
        <w:rPr>
          <w:rFonts w:ascii="Arial" w:eastAsia="Arial" w:hAnsi="Arial" w:cs="Arial"/>
        </w:rPr>
        <w:tab/>
      </w:r>
    </w:p>
    <w:p w:rsidR="00CE34AD" w:rsidRDefault="00B275C5">
      <w:pPr>
        <w:ind w:right="51" w:firstLine="709"/>
        <w:jc w:val="both"/>
        <w:rPr>
          <w:rFonts w:ascii="Arial" w:eastAsia="Arial" w:hAnsi="Arial" w:cs="Arial"/>
        </w:rPr>
      </w:pPr>
      <w:r>
        <w:rPr>
          <w:rFonts w:ascii="Arial" w:eastAsia="Arial" w:hAnsi="Arial" w:cs="Arial"/>
        </w:rPr>
        <w:t>En tales términos, y de acuerdo a los puntos resolutivos de la sentencia identificada en este dictamen  por parte del Tribunal Electoral del Estado de Yucatán, por medio de los cuales</w:t>
      </w:r>
      <w:r>
        <w:rPr>
          <w:rFonts w:ascii="Arial" w:eastAsia="Arial" w:hAnsi="Arial" w:cs="Arial"/>
        </w:rPr>
        <w:t>, se declararon existentes las infracciones cometidas por el C. Mauricio Vila Dosal, como Gobernador del Estado de Yucatán durante el proceso electoral 2020 - 2021; y en términos de la tesis jurisprudencial XX/2016, se concluye que el Congreso del Estado d</w:t>
      </w:r>
      <w:r>
        <w:rPr>
          <w:rFonts w:ascii="Arial" w:eastAsia="Arial" w:hAnsi="Arial" w:cs="Arial"/>
        </w:rPr>
        <w:t>e Yucatán, tiene competencia, mediante una interpretación armónica de los artículos 97 y 98 de la Constitución Política del Estado; 43 fracción I inciso h) y 85 ambos de la Ley de Gobierno del Poder Legislativo; 389 y 416 de Ley de Instituciones y Procedim</w:t>
      </w:r>
      <w:r>
        <w:rPr>
          <w:rFonts w:ascii="Arial" w:eastAsia="Arial" w:hAnsi="Arial" w:cs="Arial"/>
        </w:rPr>
        <w:t xml:space="preserve">ientos Electorales del Estado; 8 y 77 de la Ley de Responsabilidades Administrativas, todas el Estado de Yucatán, para determinar la sanción correspondiente, por tanto es procedente emitir el presente: </w:t>
      </w:r>
    </w:p>
    <w:p w:rsidR="00CE34AD" w:rsidRDefault="00CE34AD">
      <w:pPr>
        <w:ind w:firstLine="709"/>
        <w:jc w:val="both"/>
        <w:rPr>
          <w:rFonts w:ascii="Arial" w:eastAsia="Arial" w:hAnsi="Arial" w:cs="Arial"/>
        </w:rPr>
      </w:pPr>
    </w:p>
    <w:p w:rsidR="00CE34AD" w:rsidRDefault="00CE34AD">
      <w:pPr>
        <w:jc w:val="center"/>
        <w:rPr>
          <w:rFonts w:ascii="Arial" w:eastAsia="Arial" w:hAnsi="Arial" w:cs="Arial"/>
          <w:b/>
          <w:sz w:val="22"/>
          <w:szCs w:val="22"/>
        </w:rPr>
      </w:pPr>
    </w:p>
    <w:p w:rsidR="00CE34AD" w:rsidRDefault="00CE34AD">
      <w:pPr>
        <w:jc w:val="center"/>
        <w:rPr>
          <w:rFonts w:ascii="Arial" w:eastAsia="Arial" w:hAnsi="Arial" w:cs="Arial"/>
          <w:b/>
          <w:sz w:val="22"/>
          <w:szCs w:val="22"/>
        </w:rPr>
      </w:pPr>
    </w:p>
    <w:p w:rsidR="00CE34AD" w:rsidRDefault="00CE34AD">
      <w:pPr>
        <w:jc w:val="center"/>
        <w:rPr>
          <w:rFonts w:ascii="Arial" w:eastAsia="Arial" w:hAnsi="Arial" w:cs="Arial"/>
          <w:b/>
          <w:sz w:val="22"/>
          <w:szCs w:val="22"/>
        </w:rPr>
      </w:pPr>
    </w:p>
    <w:p w:rsidR="00CE34AD" w:rsidRDefault="00B275C5">
      <w:pPr>
        <w:jc w:val="center"/>
        <w:rPr>
          <w:rFonts w:ascii="Arial" w:eastAsia="Arial" w:hAnsi="Arial" w:cs="Arial"/>
          <w:b/>
          <w:sz w:val="22"/>
          <w:szCs w:val="22"/>
        </w:rPr>
      </w:pPr>
      <w:r>
        <w:br w:type="column"/>
      </w:r>
      <w:bookmarkStart w:id="2" w:name="_GoBack"/>
      <w:bookmarkEnd w:id="2"/>
    </w:p>
    <w:p w:rsidR="00CE34AD" w:rsidRDefault="00B275C5">
      <w:pPr>
        <w:jc w:val="center"/>
        <w:rPr>
          <w:rFonts w:ascii="Arial" w:eastAsia="Arial" w:hAnsi="Arial" w:cs="Arial"/>
          <w:b/>
          <w:sz w:val="22"/>
          <w:szCs w:val="22"/>
        </w:rPr>
      </w:pPr>
      <w:r>
        <w:rPr>
          <w:rFonts w:ascii="Arial" w:eastAsia="Arial" w:hAnsi="Arial" w:cs="Arial"/>
          <w:b/>
          <w:sz w:val="22"/>
          <w:szCs w:val="22"/>
        </w:rPr>
        <w:t>A C U E R D O</w:t>
      </w:r>
    </w:p>
    <w:p w:rsidR="00CE34AD" w:rsidRDefault="00CE34AD">
      <w:pPr>
        <w:ind w:left="3969" w:right="51"/>
        <w:jc w:val="both"/>
        <w:rPr>
          <w:rFonts w:ascii="Arial" w:eastAsia="Arial" w:hAnsi="Arial" w:cs="Arial"/>
          <w:b/>
          <w:sz w:val="22"/>
          <w:szCs w:val="22"/>
        </w:rPr>
      </w:pPr>
    </w:p>
    <w:p w:rsidR="00CE34AD" w:rsidRDefault="00B275C5">
      <w:pPr>
        <w:ind w:right="-91"/>
        <w:jc w:val="both"/>
        <w:rPr>
          <w:rFonts w:ascii="Arial" w:eastAsia="Arial" w:hAnsi="Arial" w:cs="Arial"/>
          <w:b/>
          <w:sz w:val="22"/>
          <w:szCs w:val="22"/>
        </w:rPr>
      </w:pPr>
      <w:r>
        <w:rPr>
          <w:rFonts w:ascii="Arial" w:eastAsia="Arial" w:hAnsi="Arial" w:cs="Arial"/>
          <w:b/>
          <w:sz w:val="22"/>
          <w:szCs w:val="22"/>
        </w:rPr>
        <w:t>Por el que se determina una sanción administrativa al Gobernador Constitucional del Estado de Yucatán, en cumplimiento a la resolución del procedimiento electoral PES-016/2021 ordenado por el Tribunal Electoral del Estado de Yucatán en términos de los artí</w:t>
      </w:r>
      <w:r>
        <w:rPr>
          <w:rFonts w:ascii="Arial" w:eastAsia="Arial" w:hAnsi="Arial" w:cs="Arial"/>
          <w:b/>
          <w:sz w:val="22"/>
          <w:szCs w:val="22"/>
        </w:rPr>
        <w:t>culos 97 y 98 de la Constitución Política del Estado; 43, fracción I, inciso h) y 85 ambos de la Ley de Gobierno del Poder Legislativo; 389, 406 y 416 de Ley de Instituciones y Procedimientos Electorales del Estado; 8 y 77 de la Ley de Responsabilidades Ad</w:t>
      </w:r>
      <w:r>
        <w:rPr>
          <w:rFonts w:ascii="Arial" w:eastAsia="Arial" w:hAnsi="Arial" w:cs="Arial"/>
          <w:b/>
          <w:sz w:val="22"/>
          <w:szCs w:val="22"/>
        </w:rPr>
        <w:t xml:space="preserve">ministrativas, todas el Estado de Yucatán, y de acuerdo la tesis jurisprudencial XX/2016. </w:t>
      </w:r>
    </w:p>
    <w:p w:rsidR="00CE34AD" w:rsidRDefault="00CE34AD">
      <w:pPr>
        <w:ind w:left="426" w:right="-91" w:firstLine="709"/>
        <w:jc w:val="both"/>
        <w:rPr>
          <w:rFonts w:ascii="Arial" w:eastAsia="Arial" w:hAnsi="Arial" w:cs="Arial"/>
          <w:b/>
          <w:sz w:val="22"/>
          <w:szCs w:val="22"/>
        </w:rPr>
      </w:pPr>
    </w:p>
    <w:p w:rsidR="00CE34AD" w:rsidRDefault="00B275C5">
      <w:pPr>
        <w:ind w:right="-91"/>
        <w:jc w:val="both"/>
        <w:rPr>
          <w:rFonts w:ascii="Arial" w:eastAsia="Arial" w:hAnsi="Arial" w:cs="Arial"/>
          <w:sz w:val="22"/>
          <w:szCs w:val="22"/>
        </w:rPr>
      </w:pPr>
      <w:r>
        <w:rPr>
          <w:rFonts w:ascii="Arial" w:eastAsia="Arial" w:hAnsi="Arial" w:cs="Arial"/>
          <w:b/>
          <w:sz w:val="22"/>
          <w:szCs w:val="22"/>
        </w:rPr>
        <w:t xml:space="preserve">Artículo único. </w:t>
      </w:r>
      <w:r>
        <w:rPr>
          <w:rFonts w:ascii="Arial" w:eastAsia="Arial" w:hAnsi="Arial" w:cs="Arial"/>
          <w:sz w:val="22"/>
          <w:szCs w:val="22"/>
        </w:rPr>
        <w:t xml:space="preserve">Se determina una </w:t>
      </w:r>
      <w:r>
        <w:rPr>
          <w:rFonts w:ascii="Arial" w:eastAsia="Arial" w:hAnsi="Arial" w:cs="Arial"/>
          <w:b/>
          <w:sz w:val="22"/>
          <w:szCs w:val="22"/>
        </w:rPr>
        <w:t xml:space="preserve">amonestación pública </w:t>
      </w:r>
      <w:r>
        <w:rPr>
          <w:rFonts w:ascii="Arial" w:eastAsia="Arial" w:hAnsi="Arial" w:cs="Arial"/>
          <w:sz w:val="22"/>
          <w:szCs w:val="22"/>
        </w:rPr>
        <w:t>al C. Mauricio Vila Dosal, como Gobernador Constitucional del Estado de Yucatán por la comisión de infraccione</w:t>
      </w:r>
      <w:r>
        <w:rPr>
          <w:rFonts w:ascii="Arial" w:eastAsia="Arial" w:hAnsi="Arial" w:cs="Arial"/>
          <w:sz w:val="22"/>
          <w:szCs w:val="22"/>
        </w:rPr>
        <w:t>s cometidas durante el Proceso Electoral del Estado de Yucatán 2020-2021 en términos de lo resuelto por el Tribunal Electoral del Estado de Yucatán en el expediente PES-016/2021.</w:t>
      </w:r>
    </w:p>
    <w:p w:rsidR="00CE34AD" w:rsidRDefault="00CE34AD">
      <w:pPr>
        <w:ind w:left="426" w:right="-91" w:firstLine="709"/>
        <w:jc w:val="both"/>
        <w:rPr>
          <w:rFonts w:ascii="Arial" w:eastAsia="Arial" w:hAnsi="Arial" w:cs="Arial"/>
          <w:sz w:val="22"/>
          <w:szCs w:val="22"/>
        </w:rPr>
      </w:pPr>
    </w:p>
    <w:p w:rsidR="00CE34AD" w:rsidRDefault="00B275C5">
      <w:pPr>
        <w:ind w:left="425" w:right="-91"/>
        <w:jc w:val="center"/>
        <w:rPr>
          <w:rFonts w:ascii="Arial" w:eastAsia="Arial" w:hAnsi="Arial" w:cs="Arial"/>
          <w:b/>
        </w:rPr>
      </w:pPr>
      <w:r>
        <w:rPr>
          <w:rFonts w:ascii="Arial" w:eastAsia="Arial" w:hAnsi="Arial" w:cs="Arial"/>
          <w:b/>
        </w:rPr>
        <w:t>T r a n s i t o r i o s</w:t>
      </w:r>
    </w:p>
    <w:p w:rsidR="00CE34AD" w:rsidRDefault="00CE34AD">
      <w:pPr>
        <w:ind w:left="426" w:right="-91" w:firstLine="709"/>
        <w:jc w:val="both"/>
        <w:rPr>
          <w:rFonts w:ascii="Arial" w:eastAsia="Arial" w:hAnsi="Arial" w:cs="Arial"/>
          <w:b/>
        </w:rPr>
      </w:pPr>
    </w:p>
    <w:p w:rsidR="00CE34AD" w:rsidRDefault="00B275C5">
      <w:pPr>
        <w:ind w:right="-91"/>
        <w:jc w:val="both"/>
        <w:rPr>
          <w:rFonts w:ascii="Arial" w:eastAsia="Arial" w:hAnsi="Arial" w:cs="Arial"/>
          <w:sz w:val="22"/>
          <w:szCs w:val="22"/>
        </w:rPr>
      </w:pPr>
      <w:r>
        <w:rPr>
          <w:rFonts w:ascii="Arial" w:eastAsia="Arial" w:hAnsi="Arial" w:cs="Arial"/>
          <w:b/>
          <w:sz w:val="22"/>
          <w:szCs w:val="22"/>
        </w:rPr>
        <w:t xml:space="preserve">Artículo primero. </w:t>
      </w:r>
      <w:r>
        <w:rPr>
          <w:rFonts w:ascii="Arial" w:eastAsia="Arial" w:hAnsi="Arial" w:cs="Arial"/>
          <w:sz w:val="22"/>
          <w:szCs w:val="22"/>
        </w:rPr>
        <w:t xml:space="preserve">Este acuerdo entrará en vigor el </w:t>
      </w:r>
      <w:r>
        <w:rPr>
          <w:rFonts w:ascii="Arial" w:eastAsia="Arial" w:hAnsi="Arial" w:cs="Arial"/>
          <w:sz w:val="22"/>
          <w:szCs w:val="22"/>
        </w:rPr>
        <w:t xml:space="preserve">día de su aprobación por el Pleno del Honorable Congreso del Estado de Yucatán. </w:t>
      </w:r>
    </w:p>
    <w:p w:rsidR="00CE34AD" w:rsidRDefault="00CE34AD">
      <w:pPr>
        <w:ind w:left="425" w:right="-91" w:firstLine="709"/>
        <w:jc w:val="both"/>
        <w:rPr>
          <w:rFonts w:ascii="Arial" w:eastAsia="Arial" w:hAnsi="Arial" w:cs="Arial"/>
          <w:b/>
          <w:sz w:val="22"/>
          <w:szCs w:val="22"/>
        </w:rPr>
      </w:pPr>
    </w:p>
    <w:p w:rsidR="00CE34AD" w:rsidRDefault="00B275C5">
      <w:pPr>
        <w:ind w:right="-91"/>
        <w:jc w:val="both"/>
        <w:rPr>
          <w:rFonts w:ascii="Arial" w:eastAsia="Arial" w:hAnsi="Arial" w:cs="Arial"/>
          <w:sz w:val="22"/>
          <w:szCs w:val="22"/>
        </w:rPr>
      </w:pPr>
      <w:r>
        <w:rPr>
          <w:rFonts w:ascii="Arial" w:eastAsia="Arial" w:hAnsi="Arial" w:cs="Arial"/>
          <w:b/>
          <w:sz w:val="22"/>
          <w:szCs w:val="22"/>
        </w:rPr>
        <w:t>Artículo segundo.</w:t>
      </w:r>
      <w:r>
        <w:rPr>
          <w:rFonts w:ascii="Arial" w:eastAsia="Arial" w:hAnsi="Arial" w:cs="Arial"/>
          <w:sz w:val="22"/>
          <w:szCs w:val="22"/>
        </w:rPr>
        <w:t xml:space="preserve"> Notifíquese este acuerdo al Tribunal Electoral del Estado de Yucatán y al Ciudadano Gobernador Constitucional del Estado de Yucatán, para los efectos legale</w:t>
      </w:r>
      <w:r>
        <w:rPr>
          <w:rFonts w:ascii="Arial" w:eastAsia="Arial" w:hAnsi="Arial" w:cs="Arial"/>
          <w:sz w:val="22"/>
          <w:szCs w:val="22"/>
        </w:rPr>
        <w:t>s correspondientes.</w:t>
      </w:r>
    </w:p>
    <w:p w:rsidR="00CE34AD" w:rsidRDefault="00CE34AD">
      <w:pPr>
        <w:ind w:right="-91"/>
        <w:jc w:val="both"/>
        <w:rPr>
          <w:rFonts w:ascii="Arial" w:eastAsia="Arial" w:hAnsi="Arial" w:cs="Arial"/>
          <w:sz w:val="22"/>
          <w:szCs w:val="22"/>
        </w:rPr>
      </w:pPr>
    </w:p>
    <w:p w:rsidR="00CE34AD" w:rsidRDefault="00B275C5">
      <w:pPr>
        <w:ind w:right="-91"/>
        <w:jc w:val="both"/>
        <w:rPr>
          <w:rFonts w:ascii="Arial" w:eastAsia="Arial" w:hAnsi="Arial" w:cs="Arial"/>
          <w:b/>
          <w:sz w:val="22"/>
          <w:szCs w:val="22"/>
        </w:rPr>
      </w:pPr>
      <w:r>
        <w:rPr>
          <w:rFonts w:ascii="Arial" w:eastAsia="Arial" w:hAnsi="Arial" w:cs="Arial"/>
          <w:b/>
          <w:sz w:val="22"/>
          <w:szCs w:val="22"/>
        </w:rPr>
        <w:t>DADO EN LA SALA DE USOS MÚLTIPLES “MAESTRA CONSUELO ZAVALA CASTILLO” DEL RECINTO DEL PODER LEGISLATIVO, EN LA CIUDAD DE MÉRIDA, YUCATÁN, A LOS DIEZ DÍAS DEL MES DE FEBRERO DEL AÑO DOS MIL VEINTIDÓS.</w:t>
      </w:r>
    </w:p>
    <w:p w:rsidR="00CE34AD" w:rsidRDefault="00CE34AD">
      <w:pPr>
        <w:pBdr>
          <w:top w:val="nil"/>
          <w:left w:val="nil"/>
          <w:bottom w:val="nil"/>
          <w:right w:val="nil"/>
          <w:between w:val="nil"/>
        </w:pBdr>
        <w:spacing w:line="360" w:lineRule="auto"/>
        <w:ind w:right="-91"/>
        <w:jc w:val="center"/>
        <w:rPr>
          <w:rFonts w:ascii="Arial" w:eastAsia="Arial" w:hAnsi="Arial" w:cs="Arial"/>
          <w:b/>
          <w:smallCaps/>
          <w:color w:val="000000"/>
          <w:sz w:val="22"/>
          <w:szCs w:val="22"/>
        </w:rPr>
      </w:pPr>
    </w:p>
    <w:p w:rsidR="00CE34AD" w:rsidRDefault="00B275C5">
      <w:pPr>
        <w:jc w:val="center"/>
        <w:rPr>
          <w:rFonts w:ascii="Arial" w:eastAsia="Arial" w:hAnsi="Arial" w:cs="Arial"/>
          <w:b/>
          <w:sz w:val="22"/>
          <w:szCs w:val="22"/>
        </w:rPr>
      </w:pPr>
      <w:r>
        <w:rPr>
          <w:rFonts w:ascii="Arial" w:eastAsia="Arial" w:hAnsi="Arial" w:cs="Arial"/>
          <w:b/>
          <w:sz w:val="22"/>
          <w:szCs w:val="22"/>
        </w:rPr>
        <w:t>COMISIÓN PERMANENTE DE PUNTOS CONST</w:t>
      </w:r>
      <w:r>
        <w:rPr>
          <w:rFonts w:ascii="Arial" w:eastAsia="Arial" w:hAnsi="Arial" w:cs="Arial"/>
          <w:b/>
          <w:sz w:val="22"/>
          <w:szCs w:val="22"/>
        </w:rPr>
        <w:t>ITUCIONALES</w:t>
      </w:r>
    </w:p>
    <w:p w:rsidR="00CE34AD" w:rsidRDefault="00B275C5">
      <w:pPr>
        <w:jc w:val="center"/>
        <w:rPr>
          <w:rFonts w:ascii="Arial" w:eastAsia="Arial" w:hAnsi="Arial" w:cs="Arial"/>
          <w:b/>
          <w:sz w:val="22"/>
          <w:szCs w:val="22"/>
        </w:rPr>
      </w:pPr>
      <w:r>
        <w:rPr>
          <w:rFonts w:ascii="Arial" w:eastAsia="Arial" w:hAnsi="Arial" w:cs="Arial"/>
          <w:b/>
          <w:sz w:val="22"/>
          <w:szCs w:val="22"/>
        </w:rPr>
        <w:t>Y GOBERNACIÓN</w:t>
      </w:r>
    </w:p>
    <w:tbl>
      <w:tblPr>
        <w:tblStyle w:val="a"/>
        <w:tblW w:w="92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268"/>
        <w:gridCol w:w="2268"/>
        <w:gridCol w:w="2268"/>
      </w:tblGrid>
      <w:tr w:rsidR="00CE34AD">
        <w:trPr>
          <w:tblHeader/>
          <w:jc w:val="center"/>
        </w:trPr>
        <w:tc>
          <w:tcPr>
            <w:tcW w:w="2405" w:type="dxa"/>
            <w:tcBorders>
              <w:bottom w:val="single" w:sz="4" w:space="0" w:color="000000"/>
            </w:tcBorders>
            <w:shd w:val="clear" w:color="auto" w:fill="A6A6A6"/>
          </w:tcPr>
          <w:p w:rsidR="00CE34AD" w:rsidRDefault="00CE34AD">
            <w:pPr>
              <w:pBdr>
                <w:top w:val="nil"/>
                <w:left w:val="nil"/>
                <w:bottom w:val="nil"/>
                <w:right w:val="nil"/>
                <w:between w:val="nil"/>
              </w:pBdr>
              <w:ind w:right="51"/>
              <w:jc w:val="center"/>
              <w:rPr>
                <w:rFonts w:ascii="Arial" w:eastAsia="Arial" w:hAnsi="Arial" w:cs="Arial"/>
                <w:b/>
                <w:smallCaps/>
                <w:color w:val="000000"/>
                <w:sz w:val="20"/>
                <w:szCs w:val="20"/>
              </w:rPr>
            </w:pPr>
          </w:p>
          <w:p w:rsidR="00CE34AD" w:rsidRDefault="00B275C5">
            <w:pPr>
              <w:pBdr>
                <w:top w:val="nil"/>
                <w:left w:val="nil"/>
                <w:bottom w:val="nil"/>
                <w:right w:val="nil"/>
                <w:between w:val="nil"/>
              </w:pBdr>
              <w:ind w:right="51"/>
              <w:jc w:val="center"/>
              <w:rPr>
                <w:rFonts w:ascii="Arial" w:eastAsia="Arial" w:hAnsi="Arial" w:cs="Arial"/>
                <w:b/>
                <w:smallCaps/>
                <w:color w:val="000000"/>
                <w:sz w:val="20"/>
                <w:szCs w:val="20"/>
              </w:rPr>
            </w:pPr>
            <w:r>
              <w:rPr>
                <w:rFonts w:ascii="Arial" w:eastAsia="Arial" w:hAnsi="Arial" w:cs="Arial"/>
                <w:b/>
                <w:smallCaps/>
                <w:color w:val="000000"/>
                <w:sz w:val="20"/>
                <w:szCs w:val="20"/>
              </w:rPr>
              <w:t>CARGO</w:t>
            </w:r>
          </w:p>
          <w:p w:rsidR="00CE34AD" w:rsidRDefault="00CE34AD">
            <w:pPr>
              <w:pBdr>
                <w:top w:val="nil"/>
                <w:left w:val="nil"/>
                <w:bottom w:val="nil"/>
                <w:right w:val="nil"/>
                <w:between w:val="nil"/>
              </w:pBdr>
              <w:ind w:right="51"/>
              <w:jc w:val="center"/>
              <w:rPr>
                <w:rFonts w:ascii="Arial" w:eastAsia="Arial" w:hAnsi="Arial" w:cs="Arial"/>
                <w:b/>
                <w:smallCaps/>
                <w:color w:val="000000"/>
                <w:sz w:val="20"/>
                <w:szCs w:val="20"/>
              </w:rPr>
            </w:pPr>
          </w:p>
        </w:tc>
        <w:tc>
          <w:tcPr>
            <w:tcW w:w="2268" w:type="dxa"/>
            <w:tcBorders>
              <w:bottom w:val="single" w:sz="4" w:space="0" w:color="000000"/>
            </w:tcBorders>
            <w:shd w:val="clear" w:color="auto" w:fill="A6A6A6"/>
          </w:tcPr>
          <w:p w:rsidR="00CE34AD" w:rsidRDefault="00CE34AD">
            <w:pPr>
              <w:pBdr>
                <w:top w:val="nil"/>
                <w:left w:val="nil"/>
                <w:bottom w:val="nil"/>
                <w:right w:val="nil"/>
                <w:between w:val="nil"/>
              </w:pBdr>
              <w:ind w:right="51"/>
              <w:jc w:val="center"/>
              <w:rPr>
                <w:rFonts w:ascii="Arial" w:eastAsia="Arial" w:hAnsi="Arial" w:cs="Arial"/>
                <w:b/>
                <w:smallCaps/>
                <w:color w:val="000000"/>
                <w:sz w:val="20"/>
                <w:szCs w:val="20"/>
              </w:rPr>
            </w:pPr>
          </w:p>
          <w:p w:rsidR="00CE34AD" w:rsidRDefault="00B275C5">
            <w:pPr>
              <w:pBdr>
                <w:top w:val="nil"/>
                <w:left w:val="nil"/>
                <w:bottom w:val="nil"/>
                <w:right w:val="nil"/>
                <w:between w:val="nil"/>
              </w:pBdr>
              <w:ind w:right="51"/>
              <w:jc w:val="center"/>
              <w:rPr>
                <w:rFonts w:ascii="Arial" w:eastAsia="Arial" w:hAnsi="Arial" w:cs="Arial"/>
                <w:b/>
                <w:smallCaps/>
                <w:color w:val="000000"/>
                <w:sz w:val="20"/>
                <w:szCs w:val="20"/>
              </w:rPr>
            </w:pPr>
            <w:r>
              <w:rPr>
                <w:rFonts w:ascii="Arial" w:eastAsia="Arial" w:hAnsi="Arial" w:cs="Arial"/>
                <w:b/>
                <w:smallCaps/>
                <w:color w:val="000000"/>
                <w:sz w:val="20"/>
                <w:szCs w:val="20"/>
              </w:rPr>
              <w:t>NOMBRE</w:t>
            </w:r>
          </w:p>
        </w:tc>
        <w:tc>
          <w:tcPr>
            <w:tcW w:w="2268" w:type="dxa"/>
            <w:tcBorders>
              <w:bottom w:val="single" w:sz="4" w:space="0" w:color="000000"/>
            </w:tcBorders>
            <w:shd w:val="clear" w:color="auto" w:fill="A6A6A6"/>
          </w:tcPr>
          <w:p w:rsidR="00CE34AD" w:rsidRDefault="00CE34AD">
            <w:pPr>
              <w:pBdr>
                <w:top w:val="nil"/>
                <w:left w:val="nil"/>
                <w:bottom w:val="nil"/>
                <w:right w:val="nil"/>
                <w:between w:val="nil"/>
              </w:pBdr>
              <w:ind w:right="51"/>
              <w:jc w:val="center"/>
              <w:rPr>
                <w:rFonts w:ascii="Arial" w:eastAsia="Arial" w:hAnsi="Arial" w:cs="Arial"/>
                <w:b/>
                <w:smallCaps/>
                <w:color w:val="000000"/>
                <w:sz w:val="20"/>
                <w:szCs w:val="20"/>
              </w:rPr>
            </w:pPr>
          </w:p>
          <w:p w:rsidR="00CE34AD" w:rsidRDefault="00B275C5">
            <w:pPr>
              <w:pBdr>
                <w:top w:val="nil"/>
                <w:left w:val="nil"/>
                <w:bottom w:val="nil"/>
                <w:right w:val="nil"/>
                <w:between w:val="nil"/>
              </w:pBdr>
              <w:ind w:right="51"/>
              <w:jc w:val="center"/>
              <w:rPr>
                <w:rFonts w:ascii="Arial" w:eastAsia="Arial" w:hAnsi="Arial" w:cs="Arial"/>
                <w:b/>
                <w:smallCaps/>
                <w:color w:val="000000"/>
                <w:sz w:val="20"/>
                <w:szCs w:val="20"/>
              </w:rPr>
            </w:pPr>
            <w:r>
              <w:rPr>
                <w:rFonts w:ascii="Arial" w:eastAsia="Arial" w:hAnsi="Arial" w:cs="Arial"/>
                <w:b/>
                <w:smallCaps/>
                <w:color w:val="000000"/>
                <w:sz w:val="20"/>
                <w:szCs w:val="20"/>
              </w:rPr>
              <w:t>VOTO A FAVOR</w:t>
            </w:r>
          </w:p>
        </w:tc>
        <w:tc>
          <w:tcPr>
            <w:tcW w:w="2268" w:type="dxa"/>
            <w:tcBorders>
              <w:bottom w:val="single" w:sz="4" w:space="0" w:color="000000"/>
            </w:tcBorders>
            <w:shd w:val="clear" w:color="auto" w:fill="A6A6A6"/>
          </w:tcPr>
          <w:p w:rsidR="00CE34AD" w:rsidRDefault="00CE34AD">
            <w:pPr>
              <w:pBdr>
                <w:top w:val="nil"/>
                <w:left w:val="nil"/>
                <w:bottom w:val="nil"/>
                <w:right w:val="nil"/>
                <w:between w:val="nil"/>
              </w:pBdr>
              <w:ind w:right="51"/>
              <w:jc w:val="center"/>
              <w:rPr>
                <w:rFonts w:ascii="Arial" w:eastAsia="Arial" w:hAnsi="Arial" w:cs="Arial"/>
                <w:b/>
                <w:smallCaps/>
                <w:color w:val="000000"/>
                <w:sz w:val="20"/>
                <w:szCs w:val="20"/>
              </w:rPr>
            </w:pPr>
          </w:p>
          <w:p w:rsidR="00CE34AD" w:rsidRDefault="00B275C5">
            <w:pPr>
              <w:pBdr>
                <w:top w:val="nil"/>
                <w:left w:val="nil"/>
                <w:bottom w:val="nil"/>
                <w:right w:val="nil"/>
                <w:between w:val="nil"/>
              </w:pBdr>
              <w:ind w:right="51"/>
              <w:jc w:val="center"/>
              <w:rPr>
                <w:rFonts w:ascii="Arial" w:eastAsia="Arial" w:hAnsi="Arial" w:cs="Arial"/>
                <w:b/>
                <w:smallCaps/>
                <w:color w:val="000000"/>
                <w:sz w:val="20"/>
                <w:szCs w:val="20"/>
              </w:rPr>
            </w:pPr>
            <w:r>
              <w:rPr>
                <w:rFonts w:ascii="Arial" w:eastAsia="Arial" w:hAnsi="Arial" w:cs="Arial"/>
                <w:b/>
                <w:smallCaps/>
                <w:color w:val="000000"/>
                <w:sz w:val="20"/>
                <w:szCs w:val="20"/>
              </w:rPr>
              <w:t>VOTO EN CONTRA</w:t>
            </w:r>
          </w:p>
        </w:tc>
      </w:tr>
      <w:tr w:rsidR="00CE34AD">
        <w:trPr>
          <w:jc w:val="center"/>
        </w:trPr>
        <w:tc>
          <w:tcPr>
            <w:tcW w:w="2405" w:type="dxa"/>
            <w:tcBorders>
              <w:bottom w:val="single" w:sz="4" w:space="0" w:color="000000"/>
            </w:tcBorders>
            <w:shd w:val="clear" w:color="auto" w:fill="auto"/>
          </w:tcPr>
          <w:p w:rsidR="00CE34AD" w:rsidRDefault="00CE34AD">
            <w:pPr>
              <w:pBdr>
                <w:top w:val="nil"/>
                <w:left w:val="nil"/>
                <w:bottom w:val="nil"/>
                <w:right w:val="nil"/>
                <w:between w:val="nil"/>
              </w:pBdr>
              <w:ind w:right="51"/>
              <w:jc w:val="center"/>
              <w:rPr>
                <w:rFonts w:ascii="Arial" w:eastAsia="Arial" w:hAnsi="Arial" w:cs="Arial"/>
                <w:b/>
                <w:smallCaps/>
                <w:color w:val="000000"/>
                <w:sz w:val="20"/>
                <w:szCs w:val="20"/>
              </w:rPr>
            </w:pPr>
          </w:p>
          <w:p w:rsidR="00CE34AD" w:rsidRDefault="00CE34AD">
            <w:pPr>
              <w:pBdr>
                <w:top w:val="nil"/>
                <w:left w:val="nil"/>
                <w:bottom w:val="nil"/>
                <w:right w:val="nil"/>
                <w:between w:val="nil"/>
              </w:pBdr>
              <w:ind w:right="51"/>
              <w:jc w:val="center"/>
              <w:rPr>
                <w:rFonts w:ascii="Arial" w:eastAsia="Arial" w:hAnsi="Arial" w:cs="Arial"/>
                <w:b/>
                <w:smallCaps/>
                <w:color w:val="000000"/>
                <w:sz w:val="20"/>
                <w:szCs w:val="20"/>
              </w:rPr>
            </w:pPr>
          </w:p>
          <w:p w:rsidR="00CE34AD" w:rsidRDefault="00B275C5">
            <w:pPr>
              <w:pBdr>
                <w:top w:val="nil"/>
                <w:left w:val="nil"/>
                <w:bottom w:val="nil"/>
                <w:right w:val="nil"/>
                <w:between w:val="nil"/>
              </w:pBdr>
              <w:ind w:right="51"/>
              <w:jc w:val="center"/>
              <w:rPr>
                <w:rFonts w:ascii="Arial" w:eastAsia="Arial" w:hAnsi="Arial" w:cs="Arial"/>
                <w:b/>
                <w:smallCaps/>
                <w:color w:val="000000"/>
                <w:sz w:val="20"/>
                <w:szCs w:val="20"/>
              </w:rPr>
            </w:pPr>
            <w:r>
              <w:rPr>
                <w:rFonts w:ascii="Arial" w:eastAsia="Arial" w:hAnsi="Arial" w:cs="Arial"/>
                <w:b/>
                <w:smallCaps/>
                <w:color w:val="000000"/>
                <w:sz w:val="20"/>
                <w:szCs w:val="20"/>
              </w:rPr>
              <w:t>PRESIDENTA</w:t>
            </w:r>
          </w:p>
          <w:p w:rsidR="00CE34AD" w:rsidRDefault="00CE34AD">
            <w:pPr>
              <w:pBdr>
                <w:top w:val="nil"/>
                <w:left w:val="nil"/>
                <w:bottom w:val="nil"/>
                <w:right w:val="nil"/>
                <w:between w:val="nil"/>
              </w:pBdr>
              <w:ind w:right="51"/>
              <w:jc w:val="center"/>
              <w:rPr>
                <w:rFonts w:ascii="Arial" w:eastAsia="Arial" w:hAnsi="Arial" w:cs="Arial"/>
                <w:b/>
                <w:smallCaps/>
                <w:color w:val="000000"/>
                <w:sz w:val="20"/>
                <w:szCs w:val="20"/>
              </w:rPr>
            </w:pPr>
          </w:p>
          <w:p w:rsidR="00CE34AD" w:rsidRDefault="00CE34AD">
            <w:pPr>
              <w:pBdr>
                <w:top w:val="nil"/>
                <w:left w:val="nil"/>
                <w:bottom w:val="nil"/>
                <w:right w:val="nil"/>
                <w:between w:val="nil"/>
              </w:pBdr>
              <w:ind w:right="51"/>
              <w:jc w:val="center"/>
              <w:rPr>
                <w:rFonts w:ascii="Arial" w:eastAsia="Arial" w:hAnsi="Arial" w:cs="Arial"/>
                <w:b/>
                <w:smallCaps/>
                <w:color w:val="000000"/>
                <w:sz w:val="20"/>
                <w:szCs w:val="20"/>
              </w:rPr>
            </w:pPr>
          </w:p>
        </w:tc>
        <w:tc>
          <w:tcPr>
            <w:tcW w:w="2268" w:type="dxa"/>
            <w:tcBorders>
              <w:bottom w:val="single" w:sz="4" w:space="0" w:color="000000"/>
            </w:tcBorders>
            <w:shd w:val="clear" w:color="auto" w:fill="auto"/>
          </w:tcPr>
          <w:p w:rsidR="00CE34AD" w:rsidRDefault="00CE34AD">
            <w:pPr>
              <w:pBdr>
                <w:top w:val="nil"/>
                <w:left w:val="nil"/>
                <w:bottom w:val="nil"/>
                <w:right w:val="nil"/>
                <w:between w:val="nil"/>
              </w:pBdr>
              <w:ind w:right="51"/>
              <w:jc w:val="center"/>
              <w:rPr>
                <w:rFonts w:ascii="Arial" w:eastAsia="Arial" w:hAnsi="Arial" w:cs="Arial"/>
                <w:b/>
                <w:smallCaps/>
                <w:color w:val="000000"/>
                <w:sz w:val="20"/>
                <w:szCs w:val="20"/>
              </w:rPr>
            </w:pPr>
          </w:p>
          <w:p w:rsidR="00CE34AD" w:rsidRDefault="00CE34AD">
            <w:pPr>
              <w:pBdr>
                <w:top w:val="nil"/>
                <w:left w:val="nil"/>
                <w:bottom w:val="nil"/>
                <w:right w:val="nil"/>
                <w:between w:val="nil"/>
              </w:pBdr>
              <w:ind w:right="51"/>
              <w:jc w:val="center"/>
              <w:rPr>
                <w:rFonts w:ascii="Arial" w:eastAsia="Arial" w:hAnsi="Arial" w:cs="Arial"/>
                <w:b/>
                <w:smallCaps/>
                <w:color w:val="000000"/>
                <w:sz w:val="20"/>
                <w:szCs w:val="20"/>
              </w:rPr>
            </w:pPr>
          </w:p>
          <w:p w:rsidR="00CE34AD" w:rsidRDefault="00B275C5">
            <w:pPr>
              <w:pBdr>
                <w:top w:val="nil"/>
                <w:left w:val="nil"/>
                <w:bottom w:val="nil"/>
                <w:right w:val="nil"/>
                <w:between w:val="nil"/>
              </w:pBdr>
              <w:ind w:right="51"/>
              <w:jc w:val="center"/>
              <w:rPr>
                <w:rFonts w:ascii="Arial" w:eastAsia="Arial" w:hAnsi="Arial" w:cs="Arial"/>
                <w:b/>
                <w:smallCaps/>
                <w:color w:val="000000"/>
                <w:sz w:val="20"/>
                <w:szCs w:val="20"/>
              </w:rPr>
            </w:pPr>
            <w:r>
              <w:rPr>
                <w:rFonts w:ascii="Arial" w:eastAsia="Arial" w:hAnsi="Arial" w:cs="Arial"/>
                <w:b/>
                <w:smallCaps/>
                <w:color w:val="000000"/>
                <w:sz w:val="20"/>
                <w:szCs w:val="20"/>
              </w:rPr>
              <w:t>DIP. CARMEN GUADALUPE GONZÁLEZ MARTÍN</w:t>
            </w:r>
          </w:p>
          <w:p w:rsidR="00CE34AD" w:rsidRDefault="00CE34AD">
            <w:pPr>
              <w:pBdr>
                <w:top w:val="nil"/>
                <w:left w:val="nil"/>
                <w:bottom w:val="nil"/>
                <w:right w:val="nil"/>
                <w:between w:val="nil"/>
              </w:pBdr>
              <w:ind w:right="51"/>
              <w:jc w:val="center"/>
              <w:rPr>
                <w:rFonts w:ascii="Arial" w:eastAsia="Arial" w:hAnsi="Arial" w:cs="Arial"/>
                <w:b/>
                <w:smallCaps/>
                <w:color w:val="000000"/>
                <w:sz w:val="20"/>
                <w:szCs w:val="20"/>
              </w:rPr>
            </w:pPr>
          </w:p>
          <w:p w:rsidR="00CE34AD" w:rsidRDefault="00CE34AD">
            <w:pPr>
              <w:pBdr>
                <w:top w:val="nil"/>
                <w:left w:val="nil"/>
                <w:bottom w:val="nil"/>
                <w:right w:val="nil"/>
                <w:between w:val="nil"/>
              </w:pBdr>
              <w:ind w:right="51"/>
              <w:jc w:val="center"/>
              <w:rPr>
                <w:rFonts w:ascii="Arial" w:eastAsia="Arial" w:hAnsi="Arial" w:cs="Arial"/>
                <w:b/>
                <w:smallCaps/>
                <w:color w:val="000000"/>
                <w:sz w:val="20"/>
                <w:szCs w:val="20"/>
              </w:rPr>
            </w:pPr>
          </w:p>
          <w:p w:rsidR="00CE34AD" w:rsidRDefault="00CE34AD">
            <w:pPr>
              <w:pBdr>
                <w:top w:val="nil"/>
                <w:left w:val="nil"/>
                <w:bottom w:val="nil"/>
                <w:right w:val="nil"/>
                <w:between w:val="nil"/>
              </w:pBdr>
              <w:ind w:right="51"/>
              <w:jc w:val="center"/>
              <w:rPr>
                <w:rFonts w:ascii="Arial" w:eastAsia="Arial" w:hAnsi="Arial" w:cs="Arial"/>
                <w:b/>
                <w:smallCaps/>
                <w:color w:val="000000"/>
                <w:sz w:val="20"/>
                <w:szCs w:val="20"/>
              </w:rPr>
            </w:pPr>
          </w:p>
        </w:tc>
        <w:tc>
          <w:tcPr>
            <w:tcW w:w="2268" w:type="dxa"/>
            <w:tcBorders>
              <w:bottom w:val="single" w:sz="4" w:space="0" w:color="000000"/>
            </w:tcBorders>
            <w:shd w:val="clear" w:color="auto" w:fill="auto"/>
          </w:tcPr>
          <w:p w:rsidR="00CE34AD" w:rsidRDefault="00CE34AD">
            <w:pPr>
              <w:pBdr>
                <w:top w:val="nil"/>
                <w:left w:val="nil"/>
                <w:bottom w:val="nil"/>
                <w:right w:val="nil"/>
                <w:between w:val="nil"/>
              </w:pBdr>
              <w:ind w:right="51"/>
              <w:jc w:val="both"/>
              <w:rPr>
                <w:rFonts w:ascii="Arial" w:eastAsia="Arial" w:hAnsi="Arial" w:cs="Arial"/>
                <w:smallCaps/>
                <w:color w:val="000000"/>
                <w:sz w:val="20"/>
                <w:szCs w:val="20"/>
              </w:rPr>
            </w:pPr>
          </w:p>
        </w:tc>
        <w:tc>
          <w:tcPr>
            <w:tcW w:w="2268" w:type="dxa"/>
            <w:tcBorders>
              <w:bottom w:val="single" w:sz="4" w:space="0" w:color="000000"/>
            </w:tcBorders>
            <w:shd w:val="clear" w:color="auto" w:fill="auto"/>
          </w:tcPr>
          <w:p w:rsidR="00CE34AD" w:rsidRDefault="00CE34AD">
            <w:pPr>
              <w:pBdr>
                <w:top w:val="nil"/>
                <w:left w:val="nil"/>
                <w:bottom w:val="nil"/>
                <w:right w:val="nil"/>
                <w:between w:val="nil"/>
              </w:pBdr>
              <w:ind w:right="51"/>
              <w:jc w:val="both"/>
              <w:rPr>
                <w:rFonts w:ascii="Arial" w:eastAsia="Arial" w:hAnsi="Arial" w:cs="Arial"/>
                <w:smallCaps/>
                <w:color w:val="000000"/>
                <w:sz w:val="20"/>
                <w:szCs w:val="20"/>
              </w:rPr>
            </w:pPr>
          </w:p>
          <w:p w:rsidR="00CE34AD" w:rsidRDefault="00CE34AD">
            <w:pPr>
              <w:pBdr>
                <w:top w:val="nil"/>
                <w:left w:val="nil"/>
                <w:bottom w:val="nil"/>
                <w:right w:val="nil"/>
                <w:between w:val="nil"/>
              </w:pBdr>
              <w:ind w:right="51"/>
              <w:jc w:val="both"/>
              <w:rPr>
                <w:rFonts w:ascii="Arial" w:eastAsia="Arial" w:hAnsi="Arial" w:cs="Arial"/>
                <w:smallCaps/>
                <w:color w:val="000000"/>
                <w:sz w:val="20"/>
                <w:szCs w:val="20"/>
              </w:rPr>
            </w:pPr>
          </w:p>
          <w:p w:rsidR="00CE34AD" w:rsidRDefault="00CE34AD">
            <w:pPr>
              <w:pBdr>
                <w:top w:val="nil"/>
                <w:left w:val="nil"/>
                <w:bottom w:val="nil"/>
                <w:right w:val="nil"/>
                <w:between w:val="nil"/>
              </w:pBdr>
              <w:ind w:right="51"/>
              <w:jc w:val="both"/>
              <w:rPr>
                <w:rFonts w:ascii="Arial" w:eastAsia="Arial" w:hAnsi="Arial" w:cs="Arial"/>
                <w:smallCaps/>
                <w:color w:val="000000"/>
                <w:sz w:val="20"/>
                <w:szCs w:val="20"/>
              </w:rPr>
            </w:pPr>
          </w:p>
          <w:p w:rsidR="00CE34AD" w:rsidRDefault="00CE34AD">
            <w:pPr>
              <w:pBdr>
                <w:top w:val="nil"/>
                <w:left w:val="nil"/>
                <w:bottom w:val="nil"/>
                <w:right w:val="nil"/>
                <w:between w:val="nil"/>
              </w:pBdr>
              <w:ind w:right="51"/>
              <w:jc w:val="both"/>
              <w:rPr>
                <w:rFonts w:ascii="Arial" w:eastAsia="Arial" w:hAnsi="Arial" w:cs="Arial"/>
                <w:smallCaps/>
                <w:color w:val="000000"/>
                <w:sz w:val="20"/>
                <w:szCs w:val="20"/>
              </w:rPr>
            </w:pPr>
          </w:p>
          <w:p w:rsidR="00CE34AD" w:rsidRDefault="00CE34AD">
            <w:pPr>
              <w:pBdr>
                <w:top w:val="nil"/>
                <w:left w:val="nil"/>
                <w:bottom w:val="nil"/>
                <w:right w:val="nil"/>
                <w:between w:val="nil"/>
              </w:pBdr>
              <w:ind w:right="51"/>
              <w:jc w:val="both"/>
              <w:rPr>
                <w:rFonts w:ascii="Arial" w:eastAsia="Arial" w:hAnsi="Arial" w:cs="Arial"/>
                <w:smallCaps/>
                <w:color w:val="000000"/>
                <w:sz w:val="20"/>
                <w:szCs w:val="20"/>
              </w:rPr>
            </w:pPr>
          </w:p>
        </w:tc>
      </w:tr>
      <w:tr w:rsidR="00CE34AD">
        <w:trPr>
          <w:jc w:val="center"/>
        </w:trPr>
        <w:tc>
          <w:tcPr>
            <w:tcW w:w="9209" w:type="dxa"/>
            <w:gridSpan w:val="4"/>
            <w:tcBorders>
              <w:top w:val="single" w:sz="4" w:space="0" w:color="000000"/>
              <w:left w:val="nil"/>
              <w:bottom w:val="nil"/>
              <w:right w:val="nil"/>
            </w:tcBorders>
            <w:shd w:val="clear" w:color="auto" w:fill="auto"/>
          </w:tcPr>
          <w:p w:rsidR="00CE34AD" w:rsidRDefault="00B275C5">
            <w:pPr>
              <w:pBdr>
                <w:top w:val="nil"/>
                <w:left w:val="nil"/>
                <w:bottom w:val="nil"/>
                <w:right w:val="nil"/>
                <w:between w:val="nil"/>
              </w:pBdr>
              <w:ind w:right="51"/>
              <w:jc w:val="both"/>
              <w:rPr>
                <w:rFonts w:ascii="Arial" w:eastAsia="Arial" w:hAnsi="Arial" w:cs="Arial"/>
                <w:color w:val="000000"/>
                <w:sz w:val="20"/>
                <w:szCs w:val="20"/>
              </w:rPr>
            </w:pPr>
            <w:r>
              <w:rPr>
                <w:rFonts w:ascii="Arial" w:eastAsia="Arial" w:hAnsi="Arial" w:cs="Arial"/>
                <w:color w:val="000000"/>
                <w:sz w:val="20"/>
                <w:szCs w:val="20"/>
              </w:rPr>
              <w:t>Esta hoja de firmas pertenece al Dictamen de Acuerdo por el que se da cumplimiento a la sentencia del expediente PES-016/2021 del Tribunal Electoral del Estado de Yucatán.</w:t>
            </w:r>
          </w:p>
          <w:p w:rsidR="00CE34AD" w:rsidRDefault="00CE34AD">
            <w:pPr>
              <w:pBdr>
                <w:top w:val="nil"/>
                <w:left w:val="nil"/>
                <w:bottom w:val="nil"/>
                <w:right w:val="nil"/>
                <w:between w:val="nil"/>
              </w:pBdr>
              <w:ind w:right="51"/>
              <w:jc w:val="both"/>
              <w:rPr>
                <w:rFonts w:ascii="Arial" w:eastAsia="Arial" w:hAnsi="Arial" w:cs="Arial"/>
                <w:smallCaps/>
                <w:color w:val="000000"/>
                <w:sz w:val="20"/>
                <w:szCs w:val="20"/>
              </w:rPr>
            </w:pPr>
          </w:p>
        </w:tc>
      </w:tr>
      <w:tr w:rsidR="00CE34AD">
        <w:trPr>
          <w:jc w:val="center"/>
        </w:trPr>
        <w:tc>
          <w:tcPr>
            <w:tcW w:w="2405" w:type="dxa"/>
            <w:tcBorders>
              <w:top w:val="nil"/>
            </w:tcBorders>
            <w:shd w:val="clear" w:color="auto" w:fill="auto"/>
          </w:tcPr>
          <w:p w:rsidR="00CE34AD" w:rsidRDefault="00CE34AD">
            <w:pPr>
              <w:pBdr>
                <w:top w:val="nil"/>
                <w:left w:val="nil"/>
                <w:bottom w:val="nil"/>
                <w:right w:val="nil"/>
                <w:between w:val="nil"/>
              </w:pBdr>
              <w:ind w:right="51"/>
              <w:jc w:val="center"/>
              <w:rPr>
                <w:rFonts w:ascii="Arial" w:eastAsia="Arial" w:hAnsi="Arial" w:cs="Arial"/>
                <w:b/>
                <w:smallCaps/>
                <w:color w:val="000000"/>
                <w:sz w:val="20"/>
                <w:szCs w:val="20"/>
              </w:rPr>
            </w:pPr>
          </w:p>
          <w:p w:rsidR="00CE34AD" w:rsidRDefault="00B275C5">
            <w:pPr>
              <w:pBdr>
                <w:top w:val="nil"/>
                <w:left w:val="nil"/>
                <w:bottom w:val="nil"/>
                <w:right w:val="nil"/>
                <w:between w:val="nil"/>
              </w:pBdr>
              <w:ind w:right="51"/>
              <w:jc w:val="center"/>
              <w:rPr>
                <w:rFonts w:ascii="Arial" w:eastAsia="Arial" w:hAnsi="Arial" w:cs="Arial"/>
                <w:b/>
                <w:smallCaps/>
                <w:color w:val="000000"/>
                <w:sz w:val="20"/>
                <w:szCs w:val="20"/>
              </w:rPr>
            </w:pPr>
            <w:r>
              <w:rPr>
                <w:rFonts w:ascii="Arial" w:eastAsia="Arial" w:hAnsi="Arial" w:cs="Arial"/>
                <w:b/>
                <w:smallCaps/>
                <w:color w:val="000000"/>
                <w:sz w:val="20"/>
                <w:szCs w:val="20"/>
              </w:rPr>
              <w:t>VICEPRESIDENTA</w:t>
            </w:r>
          </w:p>
          <w:p w:rsidR="00CE34AD" w:rsidRDefault="00CE34AD">
            <w:pPr>
              <w:pBdr>
                <w:top w:val="nil"/>
                <w:left w:val="nil"/>
                <w:bottom w:val="nil"/>
                <w:right w:val="nil"/>
                <w:between w:val="nil"/>
              </w:pBdr>
              <w:ind w:right="51"/>
              <w:jc w:val="center"/>
              <w:rPr>
                <w:rFonts w:ascii="Arial" w:eastAsia="Arial" w:hAnsi="Arial" w:cs="Arial"/>
                <w:b/>
                <w:smallCaps/>
                <w:color w:val="000000"/>
                <w:sz w:val="20"/>
                <w:szCs w:val="20"/>
              </w:rPr>
            </w:pPr>
          </w:p>
          <w:p w:rsidR="00CE34AD" w:rsidRDefault="00CE34AD">
            <w:pPr>
              <w:pBdr>
                <w:top w:val="nil"/>
                <w:left w:val="nil"/>
                <w:bottom w:val="nil"/>
                <w:right w:val="nil"/>
                <w:between w:val="nil"/>
              </w:pBdr>
              <w:ind w:right="51"/>
              <w:jc w:val="center"/>
              <w:rPr>
                <w:rFonts w:ascii="Arial" w:eastAsia="Arial" w:hAnsi="Arial" w:cs="Arial"/>
                <w:b/>
                <w:smallCaps/>
                <w:color w:val="000000"/>
                <w:sz w:val="20"/>
                <w:szCs w:val="20"/>
              </w:rPr>
            </w:pPr>
          </w:p>
          <w:p w:rsidR="00CE34AD" w:rsidRDefault="00CE34AD">
            <w:pPr>
              <w:pBdr>
                <w:top w:val="nil"/>
                <w:left w:val="nil"/>
                <w:bottom w:val="nil"/>
                <w:right w:val="nil"/>
                <w:between w:val="nil"/>
              </w:pBdr>
              <w:ind w:right="51"/>
              <w:jc w:val="center"/>
              <w:rPr>
                <w:rFonts w:ascii="Arial" w:eastAsia="Arial" w:hAnsi="Arial" w:cs="Arial"/>
                <w:b/>
                <w:smallCaps/>
                <w:color w:val="000000"/>
                <w:sz w:val="20"/>
                <w:szCs w:val="20"/>
              </w:rPr>
            </w:pPr>
          </w:p>
        </w:tc>
        <w:tc>
          <w:tcPr>
            <w:tcW w:w="2268" w:type="dxa"/>
            <w:tcBorders>
              <w:top w:val="nil"/>
            </w:tcBorders>
            <w:shd w:val="clear" w:color="auto" w:fill="auto"/>
          </w:tcPr>
          <w:p w:rsidR="00CE34AD" w:rsidRDefault="00CE34AD">
            <w:pPr>
              <w:jc w:val="center"/>
              <w:rPr>
                <w:rFonts w:ascii="Arial" w:eastAsia="Arial" w:hAnsi="Arial" w:cs="Arial"/>
                <w:b/>
                <w:sz w:val="20"/>
                <w:szCs w:val="20"/>
              </w:rPr>
            </w:pPr>
          </w:p>
          <w:p w:rsidR="00CE34AD" w:rsidRDefault="00B275C5">
            <w:pPr>
              <w:jc w:val="center"/>
              <w:rPr>
                <w:rFonts w:ascii="Arial" w:eastAsia="Arial" w:hAnsi="Arial" w:cs="Arial"/>
                <w:b/>
                <w:sz w:val="20"/>
                <w:szCs w:val="20"/>
              </w:rPr>
            </w:pPr>
            <w:r>
              <w:rPr>
                <w:rFonts w:ascii="Arial" w:eastAsia="Arial" w:hAnsi="Arial" w:cs="Arial"/>
                <w:b/>
                <w:sz w:val="20"/>
                <w:szCs w:val="20"/>
              </w:rPr>
              <w:t>DIP. ALEJANDRA DE LOS ÁNGELES NOVELO SEGURA</w:t>
            </w:r>
          </w:p>
        </w:tc>
        <w:tc>
          <w:tcPr>
            <w:tcW w:w="2268" w:type="dxa"/>
            <w:tcBorders>
              <w:top w:val="nil"/>
            </w:tcBorders>
            <w:shd w:val="clear" w:color="auto" w:fill="auto"/>
          </w:tcPr>
          <w:p w:rsidR="00CE34AD" w:rsidRDefault="00CE34AD">
            <w:pPr>
              <w:pBdr>
                <w:top w:val="nil"/>
                <w:left w:val="nil"/>
                <w:bottom w:val="nil"/>
                <w:right w:val="nil"/>
                <w:between w:val="nil"/>
              </w:pBdr>
              <w:ind w:right="51"/>
              <w:jc w:val="both"/>
              <w:rPr>
                <w:rFonts w:ascii="Arial" w:eastAsia="Arial" w:hAnsi="Arial" w:cs="Arial"/>
                <w:smallCaps/>
                <w:color w:val="000000"/>
                <w:sz w:val="20"/>
                <w:szCs w:val="20"/>
              </w:rPr>
            </w:pPr>
          </w:p>
        </w:tc>
        <w:tc>
          <w:tcPr>
            <w:tcW w:w="2268" w:type="dxa"/>
            <w:tcBorders>
              <w:top w:val="nil"/>
            </w:tcBorders>
            <w:shd w:val="clear" w:color="auto" w:fill="auto"/>
          </w:tcPr>
          <w:p w:rsidR="00CE34AD" w:rsidRDefault="00CE34AD">
            <w:pPr>
              <w:pBdr>
                <w:top w:val="nil"/>
                <w:left w:val="nil"/>
                <w:bottom w:val="nil"/>
                <w:right w:val="nil"/>
                <w:between w:val="nil"/>
              </w:pBdr>
              <w:ind w:right="51"/>
              <w:jc w:val="both"/>
              <w:rPr>
                <w:rFonts w:ascii="Arial" w:eastAsia="Arial" w:hAnsi="Arial" w:cs="Arial"/>
                <w:smallCaps/>
                <w:color w:val="000000"/>
                <w:sz w:val="20"/>
                <w:szCs w:val="20"/>
              </w:rPr>
            </w:pPr>
          </w:p>
        </w:tc>
      </w:tr>
      <w:tr w:rsidR="00CE34AD">
        <w:trPr>
          <w:jc w:val="center"/>
        </w:trPr>
        <w:tc>
          <w:tcPr>
            <w:tcW w:w="2405" w:type="dxa"/>
            <w:shd w:val="clear" w:color="auto" w:fill="auto"/>
          </w:tcPr>
          <w:p w:rsidR="00CE34AD" w:rsidRDefault="00CE34AD">
            <w:pPr>
              <w:pBdr>
                <w:top w:val="nil"/>
                <w:left w:val="nil"/>
                <w:bottom w:val="nil"/>
                <w:right w:val="nil"/>
                <w:between w:val="nil"/>
              </w:pBdr>
              <w:ind w:right="51"/>
              <w:jc w:val="center"/>
              <w:rPr>
                <w:rFonts w:ascii="Arial" w:eastAsia="Arial" w:hAnsi="Arial" w:cs="Arial"/>
                <w:b/>
                <w:smallCaps/>
                <w:color w:val="000000"/>
                <w:sz w:val="20"/>
                <w:szCs w:val="20"/>
              </w:rPr>
            </w:pPr>
          </w:p>
          <w:p w:rsidR="00CE34AD" w:rsidRDefault="00B275C5">
            <w:pPr>
              <w:pBdr>
                <w:top w:val="nil"/>
                <w:left w:val="nil"/>
                <w:bottom w:val="nil"/>
                <w:right w:val="nil"/>
                <w:between w:val="nil"/>
              </w:pBdr>
              <w:ind w:right="51"/>
              <w:jc w:val="center"/>
              <w:rPr>
                <w:rFonts w:ascii="Arial" w:eastAsia="Arial" w:hAnsi="Arial" w:cs="Arial"/>
                <w:b/>
                <w:smallCaps/>
                <w:color w:val="000000"/>
                <w:sz w:val="20"/>
                <w:szCs w:val="20"/>
              </w:rPr>
            </w:pPr>
            <w:r>
              <w:rPr>
                <w:rFonts w:ascii="Arial" w:eastAsia="Arial" w:hAnsi="Arial" w:cs="Arial"/>
                <w:b/>
                <w:smallCaps/>
                <w:color w:val="000000"/>
                <w:sz w:val="20"/>
                <w:szCs w:val="20"/>
              </w:rPr>
              <w:t>SECRETARIO</w:t>
            </w:r>
          </w:p>
          <w:p w:rsidR="00CE34AD" w:rsidRDefault="00CE34AD">
            <w:pPr>
              <w:pBdr>
                <w:top w:val="nil"/>
                <w:left w:val="nil"/>
                <w:bottom w:val="nil"/>
                <w:right w:val="nil"/>
                <w:between w:val="nil"/>
              </w:pBdr>
              <w:ind w:right="51"/>
              <w:jc w:val="center"/>
              <w:rPr>
                <w:rFonts w:ascii="Arial" w:eastAsia="Arial" w:hAnsi="Arial" w:cs="Arial"/>
                <w:b/>
                <w:smallCaps/>
                <w:color w:val="000000"/>
                <w:sz w:val="20"/>
                <w:szCs w:val="20"/>
              </w:rPr>
            </w:pPr>
          </w:p>
          <w:p w:rsidR="00CE34AD" w:rsidRDefault="00CE34AD">
            <w:pPr>
              <w:pBdr>
                <w:top w:val="nil"/>
                <w:left w:val="nil"/>
                <w:bottom w:val="nil"/>
                <w:right w:val="nil"/>
                <w:between w:val="nil"/>
              </w:pBdr>
              <w:ind w:right="51"/>
              <w:jc w:val="center"/>
              <w:rPr>
                <w:rFonts w:ascii="Arial" w:eastAsia="Arial" w:hAnsi="Arial" w:cs="Arial"/>
                <w:b/>
                <w:smallCaps/>
                <w:color w:val="000000"/>
                <w:sz w:val="20"/>
                <w:szCs w:val="20"/>
              </w:rPr>
            </w:pPr>
          </w:p>
          <w:p w:rsidR="00CE34AD" w:rsidRDefault="00CE34AD">
            <w:pPr>
              <w:pBdr>
                <w:top w:val="nil"/>
                <w:left w:val="nil"/>
                <w:bottom w:val="nil"/>
                <w:right w:val="nil"/>
                <w:between w:val="nil"/>
              </w:pBdr>
              <w:ind w:right="51"/>
              <w:jc w:val="center"/>
              <w:rPr>
                <w:rFonts w:ascii="Arial" w:eastAsia="Arial" w:hAnsi="Arial" w:cs="Arial"/>
                <w:b/>
                <w:smallCaps/>
                <w:color w:val="000000"/>
                <w:sz w:val="20"/>
                <w:szCs w:val="20"/>
              </w:rPr>
            </w:pPr>
          </w:p>
        </w:tc>
        <w:tc>
          <w:tcPr>
            <w:tcW w:w="2268" w:type="dxa"/>
            <w:shd w:val="clear" w:color="auto" w:fill="auto"/>
          </w:tcPr>
          <w:p w:rsidR="00CE34AD" w:rsidRDefault="00CE34AD">
            <w:pPr>
              <w:jc w:val="center"/>
              <w:rPr>
                <w:rFonts w:ascii="Arial" w:eastAsia="Arial" w:hAnsi="Arial" w:cs="Arial"/>
                <w:b/>
                <w:sz w:val="20"/>
                <w:szCs w:val="20"/>
              </w:rPr>
            </w:pPr>
          </w:p>
          <w:p w:rsidR="00CE34AD" w:rsidRDefault="00B275C5">
            <w:pPr>
              <w:jc w:val="center"/>
              <w:rPr>
                <w:rFonts w:ascii="Arial" w:eastAsia="Arial" w:hAnsi="Arial" w:cs="Arial"/>
                <w:b/>
                <w:sz w:val="20"/>
                <w:szCs w:val="20"/>
              </w:rPr>
            </w:pPr>
            <w:r>
              <w:rPr>
                <w:rFonts w:ascii="Arial" w:eastAsia="Arial" w:hAnsi="Arial" w:cs="Arial"/>
                <w:b/>
                <w:sz w:val="20"/>
                <w:szCs w:val="20"/>
              </w:rPr>
              <w:t>DIP. GASPAR ARMANDO QUINTAL PARRA</w:t>
            </w:r>
          </w:p>
        </w:tc>
        <w:tc>
          <w:tcPr>
            <w:tcW w:w="2268" w:type="dxa"/>
            <w:shd w:val="clear" w:color="auto" w:fill="auto"/>
          </w:tcPr>
          <w:p w:rsidR="00CE34AD" w:rsidRDefault="00CE34AD">
            <w:pPr>
              <w:pBdr>
                <w:top w:val="nil"/>
                <w:left w:val="nil"/>
                <w:bottom w:val="nil"/>
                <w:right w:val="nil"/>
                <w:between w:val="nil"/>
              </w:pBdr>
              <w:ind w:right="51"/>
              <w:jc w:val="both"/>
              <w:rPr>
                <w:rFonts w:ascii="Arial" w:eastAsia="Arial" w:hAnsi="Arial" w:cs="Arial"/>
                <w:smallCaps/>
                <w:color w:val="000000"/>
                <w:sz w:val="20"/>
                <w:szCs w:val="20"/>
              </w:rPr>
            </w:pPr>
          </w:p>
        </w:tc>
        <w:tc>
          <w:tcPr>
            <w:tcW w:w="2268" w:type="dxa"/>
            <w:shd w:val="clear" w:color="auto" w:fill="auto"/>
          </w:tcPr>
          <w:p w:rsidR="00CE34AD" w:rsidRDefault="00CE34AD">
            <w:pPr>
              <w:pBdr>
                <w:top w:val="nil"/>
                <w:left w:val="nil"/>
                <w:bottom w:val="nil"/>
                <w:right w:val="nil"/>
                <w:between w:val="nil"/>
              </w:pBdr>
              <w:ind w:right="51"/>
              <w:jc w:val="both"/>
              <w:rPr>
                <w:rFonts w:ascii="Arial" w:eastAsia="Arial" w:hAnsi="Arial" w:cs="Arial"/>
                <w:smallCaps/>
                <w:color w:val="000000"/>
                <w:sz w:val="20"/>
                <w:szCs w:val="20"/>
              </w:rPr>
            </w:pPr>
          </w:p>
        </w:tc>
      </w:tr>
      <w:tr w:rsidR="00CE34AD">
        <w:trPr>
          <w:jc w:val="center"/>
        </w:trPr>
        <w:tc>
          <w:tcPr>
            <w:tcW w:w="2405" w:type="dxa"/>
            <w:shd w:val="clear" w:color="auto" w:fill="auto"/>
          </w:tcPr>
          <w:p w:rsidR="00CE34AD" w:rsidRDefault="00CE34AD">
            <w:pPr>
              <w:pBdr>
                <w:top w:val="nil"/>
                <w:left w:val="nil"/>
                <w:bottom w:val="nil"/>
                <w:right w:val="nil"/>
                <w:between w:val="nil"/>
              </w:pBdr>
              <w:ind w:right="51"/>
              <w:jc w:val="center"/>
              <w:rPr>
                <w:rFonts w:ascii="Arial" w:eastAsia="Arial" w:hAnsi="Arial" w:cs="Arial"/>
                <w:b/>
                <w:smallCaps/>
                <w:color w:val="000000"/>
                <w:sz w:val="20"/>
                <w:szCs w:val="20"/>
              </w:rPr>
            </w:pPr>
          </w:p>
          <w:p w:rsidR="00CE34AD" w:rsidRDefault="00CE34AD">
            <w:pPr>
              <w:pBdr>
                <w:top w:val="nil"/>
                <w:left w:val="nil"/>
                <w:bottom w:val="nil"/>
                <w:right w:val="nil"/>
                <w:between w:val="nil"/>
              </w:pBdr>
              <w:ind w:right="51"/>
              <w:jc w:val="center"/>
              <w:rPr>
                <w:rFonts w:ascii="Arial" w:eastAsia="Arial" w:hAnsi="Arial" w:cs="Arial"/>
                <w:b/>
                <w:smallCaps/>
                <w:color w:val="000000"/>
                <w:sz w:val="20"/>
                <w:szCs w:val="20"/>
              </w:rPr>
            </w:pPr>
          </w:p>
          <w:p w:rsidR="00CE34AD" w:rsidRDefault="00B275C5">
            <w:pPr>
              <w:pBdr>
                <w:top w:val="nil"/>
                <w:left w:val="nil"/>
                <w:bottom w:val="nil"/>
                <w:right w:val="nil"/>
                <w:between w:val="nil"/>
              </w:pBdr>
              <w:ind w:right="51"/>
              <w:jc w:val="center"/>
              <w:rPr>
                <w:rFonts w:ascii="Arial" w:eastAsia="Arial" w:hAnsi="Arial" w:cs="Arial"/>
                <w:b/>
                <w:smallCaps/>
                <w:color w:val="000000"/>
                <w:sz w:val="20"/>
                <w:szCs w:val="20"/>
              </w:rPr>
            </w:pPr>
            <w:r>
              <w:rPr>
                <w:rFonts w:ascii="Arial" w:eastAsia="Arial" w:hAnsi="Arial" w:cs="Arial"/>
                <w:b/>
                <w:smallCaps/>
                <w:color w:val="000000"/>
                <w:sz w:val="20"/>
                <w:szCs w:val="20"/>
              </w:rPr>
              <w:t>SECRETARIO</w:t>
            </w:r>
          </w:p>
          <w:p w:rsidR="00CE34AD" w:rsidRDefault="00CE34AD">
            <w:pPr>
              <w:pBdr>
                <w:top w:val="nil"/>
                <w:left w:val="nil"/>
                <w:bottom w:val="nil"/>
                <w:right w:val="nil"/>
                <w:between w:val="nil"/>
              </w:pBdr>
              <w:ind w:right="51"/>
              <w:jc w:val="center"/>
              <w:rPr>
                <w:rFonts w:ascii="Arial" w:eastAsia="Arial" w:hAnsi="Arial" w:cs="Arial"/>
                <w:b/>
                <w:smallCaps/>
                <w:color w:val="000000"/>
                <w:sz w:val="20"/>
                <w:szCs w:val="20"/>
              </w:rPr>
            </w:pPr>
          </w:p>
          <w:p w:rsidR="00CE34AD" w:rsidRDefault="00CE34AD">
            <w:pPr>
              <w:pBdr>
                <w:top w:val="nil"/>
                <w:left w:val="nil"/>
                <w:bottom w:val="nil"/>
                <w:right w:val="nil"/>
                <w:between w:val="nil"/>
              </w:pBdr>
              <w:ind w:right="51"/>
              <w:jc w:val="both"/>
              <w:rPr>
                <w:rFonts w:ascii="Arial" w:eastAsia="Arial" w:hAnsi="Arial" w:cs="Arial"/>
                <w:b/>
                <w:smallCaps/>
                <w:color w:val="000000"/>
                <w:sz w:val="20"/>
                <w:szCs w:val="20"/>
              </w:rPr>
            </w:pPr>
          </w:p>
        </w:tc>
        <w:tc>
          <w:tcPr>
            <w:tcW w:w="2268" w:type="dxa"/>
            <w:shd w:val="clear" w:color="auto" w:fill="auto"/>
          </w:tcPr>
          <w:p w:rsidR="00CE34AD" w:rsidRDefault="00CE34AD">
            <w:pPr>
              <w:jc w:val="center"/>
              <w:rPr>
                <w:rFonts w:ascii="Arial" w:eastAsia="Arial" w:hAnsi="Arial" w:cs="Arial"/>
                <w:b/>
                <w:sz w:val="20"/>
                <w:szCs w:val="20"/>
              </w:rPr>
            </w:pPr>
          </w:p>
          <w:p w:rsidR="00CE34AD" w:rsidRDefault="00B275C5">
            <w:pPr>
              <w:jc w:val="center"/>
              <w:rPr>
                <w:rFonts w:ascii="Arial" w:eastAsia="Arial" w:hAnsi="Arial" w:cs="Arial"/>
                <w:b/>
                <w:sz w:val="20"/>
                <w:szCs w:val="20"/>
              </w:rPr>
            </w:pPr>
            <w:r>
              <w:rPr>
                <w:rFonts w:ascii="Arial" w:eastAsia="Arial" w:hAnsi="Arial" w:cs="Arial"/>
                <w:b/>
                <w:sz w:val="20"/>
                <w:szCs w:val="20"/>
              </w:rPr>
              <w:t>DIP. JESÚS EFRÉN PÉREZ BALLOTE</w:t>
            </w:r>
          </w:p>
          <w:p w:rsidR="00CE34AD" w:rsidRDefault="00CE34AD">
            <w:pPr>
              <w:jc w:val="center"/>
              <w:rPr>
                <w:rFonts w:ascii="Arial" w:eastAsia="Arial" w:hAnsi="Arial" w:cs="Arial"/>
                <w:b/>
                <w:sz w:val="20"/>
                <w:szCs w:val="20"/>
              </w:rPr>
            </w:pPr>
          </w:p>
          <w:p w:rsidR="00CE34AD" w:rsidRDefault="00CE34AD">
            <w:pPr>
              <w:jc w:val="center"/>
              <w:rPr>
                <w:rFonts w:ascii="Arial" w:eastAsia="Arial" w:hAnsi="Arial" w:cs="Arial"/>
                <w:b/>
                <w:sz w:val="20"/>
                <w:szCs w:val="20"/>
              </w:rPr>
            </w:pPr>
          </w:p>
        </w:tc>
        <w:tc>
          <w:tcPr>
            <w:tcW w:w="2268" w:type="dxa"/>
            <w:shd w:val="clear" w:color="auto" w:fill="auto"/>
          </w:tcPr>
          <w:p w:rsidR="00CE34AD" w:rsidRDefault="00CE34AD">
            <w:pPr>
              <w:pBdr>
                <w:top w:val="nil"/>
                <w:left w:val="nil"/>
                <w:bottom w:val="nil"/>
                <w:right w:val="nil"/>
                <w:between w:val="nil"/>
              </w:pBdr>
              <w:ind w:right="51"/>
              <w:jc w:val="both"/>
              <w:rPr>
                <w:rFonts w:ascii="Arial" w:eastAsia="Arial" w:hAnsi="Arial" w:cs="Arial"/>
                <w:smallCaps/>
                <w:color w:val="000000"/>
                <w:sz w:val="20"/>
                <w:szCs w:val="20"/>
              </w:rPr>
            </w:pPr>
          </w:p>
        </w:tc>
        <w:tc>
          <w:tcPr>
            <w:tcW w:w="2268" w:type="dxa"/>
            <w:shd w:val="clear" w:color="auto" w:fill="auto"/>
          </w:tcPr>
          <w:p w:rsidR="00CE34AD" w:rsidRDefault="00CE34AD">
            <w:pPr>
              <w:pBdr>
                <w:top w:val="nil"/>
                <w:left w:val="nil"/>
                <w:bottom w:val="nil"/>
                <w:right w:val="nil"/>
                <w:between w:val="nil"/>
              </w:pBdr>
              <w:ind w:right="51"/>
              <w:jc w:val="both"/>
              <w:rPr>
                <w:rFonts w:ascii="Arial" w:eastAsia="Arial" w:hAnsi="Arial" w:cs="Arial"/>
                <w:smallCaps/>
                <w:color w:val="000000"/>
                <w:sz w:val="20"/>
                <w:szCs w:val="20"/>
              </w:rPr>
            </w:pPr>
          </w:p>
        </w:tc>
      </w:tr>
      <w:tr w:rsidR="00CE34AD">
        <w:trPr>
          <w:jc w:val="center"/>
        </w:trPr>
        <w:tc>
          <w:tcPr>
            <w:tcW w:w="2405" w:type="dxa"/>
            <w:shd w:val="clear" w:color="auto" w:fill="auto"/>
            <w:vAlign w:val="center"/>
          </w:tcPr>
          <w:p w:rsidR="00CE34AD" w:rsidRDefault="00CE34AD">
            <w:pPr>
              <w:pBdr>
                <w:top w:val="nil"/>
                <w:left w:val="nil"/>
                <w:bottom w:val="nil"/>
                <w:right w:val="nil"/>
                <w:between w:val="nil"/>
              </w:pBdr>
              <w:ind w:right="51"/>
              <w:jc w:val="center"/>
              <w:rPr>
                <w:rFonts w:ascii="Arial" w:eastAsia="Arial" w:hAnsi="Arial" w:cs="Arial"/>
                <w:b/>
                <w:smallCaps/>
                <w:color w:val="000000"/>
                <w:sz w:val="20"/>
                <w:szCs w:val="20"/>
              </w:rPr>
            </w:pPr>
          </w:p>
          <w:p w:rsidR="00CE34AD" w:rsidRDefault="00B275C5">
            <w:pPr>
              <w:pBdr>
                <w:top w:val="nil"/>
                <w:left w:val="nil"/>
                <w:bottom w:val="nil"/>
                <w:right w:val="nil"/>
                <w:between w:val="nil"/>
              </w:pBdr>
              <w:ind w:right="51"/>
              <w:jc w:val="center"/>
              <w:rPr>
                <w:rFonts w:ascii="Arial" w:eastAsia="Arial" w:hAnsi="Arial" w:cs="Arial"/>
                <w:b/>
                <w:smallCaps/>
                <w:color w:val="000000"/>
                <w:sz w:val="20"/>
                <w:szCs w:val="20"/>
              </w:rPr>
            </w:pPr>
            <w:r>
              <w:rPr>
                <w:rFonts w:ascii="Arial" w:eastAsia="Arial" w:hAnsi="Arial" w:cs="Arial"/>
                <w:b/>
                <w:smallCaps/>
                <w:color w:val="000000"/>
                <w:sz w:val="20"/>
                <w:szCs w:val="20"/>
              </w:rPr>
              <w:t>VOCAL</w:t>
            </w:r>
          </w:p>
          <w:p w:rsidR="00CE34AD" w:rsidRDefault="00CE34AD">
            <w:pPr>
              <w:pBdr>
                <w:top w:val="nil"/>
                <w:left w:val="nil"/>
                <w:bottom w:val="nil"/>
                <w:right w:val="nil"/>
                <w:between w:val="nil"/>
              </w:pBdr>
              <w:ind w:right="51"/>
              <w:jc w:val="center"/>
              <w:rPr>
                <w:rFonts w:ascii="Arial" w:eastAsia="Arial" w:hAnsi="Arial" w:cs="Arial"/>
                <w:b/>
                <w:smallCaps/>
                <w:color w:val="000000"/>
                <w:sz w:val="20"/>
                <w:szCs w:val="20"/>
              </w:rPr>
            </w:pPr>
          </w:p>
          <w:p w:rsidR="00CE34AD" w:rsidRDefault="00CE34AD">
            <w:pPr>
              <w:pBdr>
                <w:top w:val="nil"/>
                <w:left w:val="nil"/>
                <w:bottom w:val="nil"/>
                <w:right w:val="nil"/>
                <w:between w:val="nil"/>
              </w:pBdr>
              <w:ind w:right="51"/>
              <w:jc w:val="center"/>
              <w:rPr>
                <w:rFonts w:ascii="Arial" w:eastAsia="Arial" w:hAnsi="Arial" w:cs="Arial"/>
                <w:b/>
                <w:smallCaps/>
                <w:color w:val="000000"/>
                <w:sz w:val="20"/>
                <w:szCs w:val="20"/>
              </w:rPr>
            </w:pPr>
          </w:p>
        </w:tc>
        <w:tc>
          <w:tcPr>
            <w:tcW w:w="2268" w:type="dxa"/>
            <w:shd w:val="clear" w:color="auto" w:fill="auto"/>
          </w:tcPr>
          <w:p w:rsidR="00CE34AD" w:rsidRDefault="00CE34AD">
            <w:pPr>
              <w:jc w:val="center"/>
              <w:rPr>
                <w:rFonts w:ascii="Arial" w:eastAsia="Arial" w:hAnsi="Arial" w:cs="Arial"/>
                <w:b/>
                <w:smallCaps/>
                <w:sz w:val="20"/>
                <w:szCs w:val="20"/>
              </w:rPr>
            </w:pPr>
          </w:p>
          <w:p w:rsidR="00CE34AD" w:rsidRDefault="00B275C5">
            <w:pPr>
              <w:jc w:val="center"/>
              <w:rPr>
                <w:rFonts w:ascii="Arial" w:eastAsia="Arial" w:hAnsi="Arial" w:cs="Arial"/>
                <w:b/>
                <w:smallCaps/>
                <w:sz w:val="20"/>
                <w:szCs w:val="20"/>
              </w:rPr>
            </w:pPr>
            <w:r>
              <w:rPr>
                <w:rFonts w:ascii="Arial" w:eastAsia="Arial" w:hAnsi="Arial" w:cs="Arial"/>
                <w:b/>
                <w:smallCaps/>
                <w:sz w:val="20"/>
                <w:szCs w:val="20"/>
              </w:rPr>
              <w:t>DIP. VÍCTOR HUGO LOZANO POVEDA</w:t>
            </w:r>
          </w:p>
          <w:p w:rsidR="00CE34AD" w:rsidRDefault="00CE34AD">
            <w:pPr>
              <w:rPr>
                <w:rFonts w:ascii="Arial" w:eastAsia="Arial" w:hAnsi="Arial" w:cs="Arial"/>
                <w:b/>
                <w:smallCaps/>
                <w:sz w:val="20"/>
                <w:szCs w:val="20"/>
              </w:rPr>
            </w:pPr>
          </w:p>
        </w:tc>
        <w:tc>
          <w:tcPr>
            <w:tcW w:w="2268" w:type="dxa"/>
            <w:shd w:val="clear" w:color="auto" w:fill="auto"/>
          </w:tcPr>
          <w:p w:rsidR="00CE34AD" w:rsidRDefault="00CE34AD">
            <w:pPr>
              <w:pBdr>
                <w:top w:val="nil"/>
                <w:left w:val="nil"/>
                <w:bottom w:val="nil"/>
                <w:right w:val="nil"/>
                <w:between w:val="nil"/>
              </w:pBdr>
              <w:ind w:right="51"/>
              <w:jc w:val="both"/>
              <w:rPr>
                <w:rFonts w:ascii="Arial" w:eastAsia="Arial" w:hAnsi="Arial" w:cs="Arial"/>
                <w:smallCaps/>
                <w:color w:val="000000"/>
                <w:sz w:val="20"/>
                <w:szCs w:val="20"/>
              </w:rPr>
            </w:pPr>
          </w:p>
        </w:tc>
        <w:tc>
          <w:tcPr>
            <w:tcW w:w="2268" w:type="dxa"/>
            <w:shd w:val="clear" w:color="auto" w:fill="auto"/>
          </w:tcPr>
          <w:p w:rsidR="00CE34AD" w:rsidRDefault="00CE34AD">
            <w:pPr>
              <w:pBdr>
                <w:top w:val="nil"/>
                <w:left w:val="nil"/>
                <w:bottom w:val="nil"/>
                <w:right w:val="nil"/>
                <w:between w:val="nil"/>
              </w:pBdr>
              <w:ind w:right="51"/>
              <w:jc w:val="both"/>
              <w:rPr>
                <w:rFonts w:ascii="Arial" w:eastAsia="Arial" w:hAnsi="Arial" w:cs="Arial"/>
                <w:smallCaps/>
                <w:color w:val="000000"/>
                <w:sz w:val="20"/>
                <w:szCs w:val="20"/>
              </w:rPr>
            </w:pPr>
          </w:p>
        </w:tc>
      </w:tr>
      <w:tr w:rsidR="00CE34AD">
        <w:trPr>
          <w:jc w:val="center"/>
        </w:trPr>
        <w:tc>
          <w:tcPr>
            <w:tcW w:w="2405" w:type="dxa"/>
            <w:shd w:val="clear" w:color="auto" w:fill="auto"/>
            <w:vAlign w:val="center"/>
          </w:tcPr>
          <w:p w:rsidR="00CE34AD" w:rsidRDefault="00CE34AD">
            <w:pPr>
              <w:pBdr>
                <w:top w:val="nil"/>
                <w:left w:val="nil"/>
                <w:bottom w:val="nil"/>
                <w:right w:val="nil"/>
                <w:between w:val="nil"/>
              </w:pBdr>
              <w:ind w:right="51"/>
              <w:jc w:val="center"/>
              <w:rPr>
                <w:rFonts w:ascii="Arial" w:eastAsia="Arial" w:hAnsi="Arial" w:cs="Arial"/>
                <w:b/>
                <w:smallCaps/>
                <w:color w:val="000000"/>
                <w:sz w:val="20"/>
                <w:szCs w:val="20"/>
              </w:rPr>
            </w:pPr>
          </w:p>
          <w:p w:rsidR="00CE34AD" w:rsidRDefault="00B275C5">
            <w:pPr>
              <w:pBdr>
                <w:top w:val="nil"/>
                <w:left w:val="nil"/>
                <w:bottom w:val="nil"/>
                <w:right w:val="nil"/>
                <w:between w:val="nil"/>
              </w:pBdr>
              <w:ind w:right="51"/>
              <w:jc w:val="center"/>
              <w:rPr>
                <w:rFonts w:ascii="Arial" w:eastAsia="Arial" w:hAnsi="Arial" w:cs="Arial"/>
                <w:b/>
                <w:smallCaps/>
                <w:color w:val="000000"/>
                <w:sz w:val="20"/>
                <w:szCs w:val="20"/>
              </w:rPr>
            </w:pPr>
            <w:r>
              <w:rPr>
                <w:rFonts w:ascii="Arial" w:eastAsia="Arial" w:hAnsi="Arial" w:cs="Arial"/>
                <w:b/>
                <w:smallCaps/>
                <w:color w:val="000000"/>
                <w:sz w:val="20"/>
                <w:szCs w:val="20"/>
              </w:rPr>
              <w:t>VOCAL</w:t>
            </w:r>
          </w:p>
          <w:p w:rsidR="00CE34AD" w:rsidRDefault="00CE34AD">
            <w:pPr>
              <w:pBdr>
                <w:top w:val="nil"/>
                <w:left w:val="nil"/>
                <w:bottom w:val="nil"/>
                <w:right w:val="nil"/>
                <w:between w:val="nil"/>
              </w:pBdr>
              <w:ind w:right="51"/>
              <w:jc w:val="center"/>
              <w:rPr>
                <w:rFonts w:ascii="Arial" w:eastAsia="Arial" w:hAnsi="Arial" w:cs="Arial"/>
                <w:b/>
                <w:smallCaps/>
                <w:color w:val="000000"/>
                <w:sz w:val="20"/>
                <w:szCs w:val="20"/>
              </w:rPr>
            </w:pPr>
          </w:p>
          <w:p w:rsidR="00CE34AD" w:rsidRDefault="00CE34AD">
            <w:pPr>
              <w:pBdr>
                <w:top w:val="nil"/>
                <w:left w:val="nil"/>
                <w:bottom w:val="nil"/>
                <w:right w:val="nil"/>
                <w:between w:val="nil"/>
              </w:pBdr>
              <w:ind w:right="51"/>
              <w:jc w:val="center"/>
              <w:rPr>
                <w:rFonts w:ascii="Arial" w:eastAsia="Arial" w:hAnsi="Arial" w:cs="Arial"/>
                <w:b/>
                <w:smallCaps/>
                <w:color w:val="000000"/>
                <w:sz w:val="20"/>
                <w:szCs w:val="20"/>
              </w:rPr>
            </w:pPr>
          </w:p>
        </w:tc>
        <w:tc>
          <w:tcPr>
            <w:tcW w:w="2268" w:type="dxa"/>
            <w:shd w:val="clear" w:color="auto" w:fill="auto"/>
          </w:tcPr>
          <w:p w:rsidR="00CE34AD" w:rsidRDefault="00CE34AD">
            <w:pPr>
              <w:jc w:val="center"/>
              <w:rPr>
                <w:rFonts w:ascii="Arial" w:eastAsia="Arial" w:hAnsi="Arial" w:cs="Arial"/>
                <w:b/>
                <w:smallCaps/>
                <w:sz w:val="20"/>
                <w:szCs w:val="20"/>
              </w:rPr>
            </w:pPr>
          </w:p>
          <w:p w:rsidR="00CE34AD" w:rsidRDefault="00B275C5">
            <w:pPr>
              <w:jc w:val="center"/>
              <w:rPr>
                <w:rFonts w:ascii="Arial" w:eastAsia="Arial" w:hAnsi="Arial" w:cs="Arial"/>
                <w:b/>
                <w:smallCaps/>
                <w:sz w:val="20"/>
                <w:szCs w:val="20"/>
              </w:rPr>
            </w:pPr>
            <w:r>
              <w:rPr>
                <w:rFonts w:ascii="Arial" w:eastAsia="Arial" w:hAnsi="Arial" w:cs="Arial"/>
                <w:b/>
                <w:smallCaps/>
                <w:sz w:val="20"/>
                <w:szCs w:val="20"/>
              </w:rPr>
              <w:t>DIP. DAFNE CELINA LÓPEZ OSORIO</w:t>
            </w:r>
          </w:p>
          <w:p w:rsidR="00CE34AD" w:rsidRDefault="00CE34AD">
            <w:pPr>
              <w:jc w:val="center"/>
              <w:rPr>
                <w:rFonts w:ascii="Arial" w:eastAsia="Arial" w:hAnsi="Arial" w:cs="Arial"/>
                <w:b/>
                <w:smallCaps/>
                <w:sz w:val="20"/>
                <w:szCs w:val="20"/>
              </w:rPr>
            </w:pPr>
          </w:p>
        </w:tc>
        <w:tc>
          <w:tcPr>
            <w:tcW w:w="2268" w:type="dxa"/>
            <w:shd w:val="clear" w:color="auto" w:fill="auto"/>
          </w:tcPr>
          <w:p w:rsidR="00CE34AD" w:rsidRDefault="00CE34AD">
            <w:pPr>
              <w:pBdr>
                <w:top w:val="nil"/>
                <w:left w:val="nil"/>
                <w:bottom w:val="nil"/>
                <w:right w:val="nil"/>
                <w:between w:val="nil"/>
              </w:pBdr>
              <w:ind w:right="51"/>
              <w:jc w:val="both"/>
              <w:rPr>
                <w:rFonts w:ascii="Arial" w:eastAsia="Arial" w:hAnsi="Arial" w:cs="Arial"/>
                <w:smallCaps/>
                <w:color w:val="000000"/>
                <w:sz w:val="20"/>
                <w:szCs w:val="20"/>
              </w:rPr>
            </w:pPr>
          </w:p>
        </w:tc>
        <w:tc>
          <w:tcPr>
            <w:tcW w:w="2268" w:type="dxa"/>
            <w:shd w:val="clear" w:color="auto" w:fill="auto"/>
          </w:tcPr>
          <w:p w:rsidR="00CE34AD" w:rsidRDefault="00CE34AD">
            <w:pPr>
              <w:pBdr>
                <w:top w:val="nil"/>
                <w:left w:val="nil"/>
                <w:bottom w:val="nil"/>
                <w:right w:val="nil"/>
                <w:between w:val="nil"/>
              </w:pBdr>
              <w:ind w:right="51"/>
              <w:jc w:val="both"/>
              <w:rPr>
                <w:rFonts w:ascii="Arial" w:eastAsia="Arial" w:hAnsi="Arial" w:cs="Arial"/>
                <w:smallCaps/>
                <w:color w:val="000000"/>
                <w:sz w:val="20"/>
                <w:szCs w:val="20"/>
              </w:rPr>
            </w:pPr>
          </w:p>
        </w:tc>
      </w:tr>
      <w:tr w:rsidR="00CE34AD">
        <w:trPr>
          <w:jc w:val="center"/>
        </w:trPr>
        <w:tc>
          <w:tcPr>
            <w:tcW w:w="2405" w:type="dxa"/>
            <w:shd w:val="clear" w:color="auto" w:fill="auto"/>
            <w:vAlign w:val="center"/>
          </w:tcPr>
          <w:p w:rsidR="00CE34AD" w:rsidRDefault="00CE34AD">
            <w:pPr>
              <w:pBdr>
                <w:top w:val="nil"/>
                <w:left w:val="nil"/>
                <w:bottom w:val="nil"/>
                <w:right w:val="nil"/>
                <w:between w:val="nil"/>
              </w:pBdr>
              <w:ind w:right="51"/>
              <w:jc w:val="center"/>
              <w:rPr>
                <w:rFonts w:ascii="Arial" w:eastAsia="Arial" w:hAnsi="Arial" w:cs="Arial"/>
                <w:b/>
                <w:smallCaps/>
                <w:color w:val="000000"/>
                <w:sz w:val="20"/>
                <w:szCs w:val="20"/>
              </w:rPr>
            </w:pPr>
          </w:p>
          <w:p w:rsidR="00CE34AD" w:rsidRDefault="00B275C5">
            <w:pPr>
              <w:pBdr>
                <w:top w:val="nil"/>
                <w:left w:val="nil"/>
                <w:bottom w:val="nil"/>
                <w:right w:val="nil"/>
                <w:between w:val="nil"/>
              </w:pBdr>
              <w:ind w:right="51"/>
              <w:jc w:val="center"/>
              <w:rPr>
                <w:rFonts w:ascii="Arial" w:eastAsia="Arial" w:hAnsi="Arial" w:cs="Arial"/>
                <w:b/>
                <w:smallCaps/>
                <w:color w:val="000000"/>
                <w:sz w:val="20"/>
                <w:szCs w:val="20"/>
              </w:rPr>
            </w:pPr>
            <w:r>
              <w:rPr>
                <w:rFonts w:ascii="Arial" w:eastAsia="Arial" w:hAnsi="Arial" w:cs="Arial"/>
                <w:b/>
                <w:smallCaps/>
                <w:color w:val="000000"/>
                <w:sz w:val="20"/>
                <w:szCs w:val="20"/>
              </w:rPr>
              <w:t xml:space="preserve">VOCAL </w:t>
            </w:r>
          </w:p>
          <w:p w:rsidR="00CE34AD" w:rsidRDefault="00CE34AD">
            <w:pPr>
              <w:pBdr>
                <w:top w:val="nil"/>
                <w:left w:val="nil"/>
                <w:bottom w:val="nil"/>
                <w:right w:val="nil"/>
                <w:between w:val="nil"/>
              </w:pBdr>
              <w:ind w:right="51"/>
              <w:jc w:val="center"/>
              <w:rPr>
                <w:rFonts w:ascii="Arial" w:eastAsia="Arial" w:hAnsi="Arial" w:cs="Arial"/>
                <w:b/>
                <w:smallCaps/>
                <w:color w:val="000000"/>
                <w:sz w:val="20"/>
                <w:szCs w:val="20"/>
              </w:rPr>
            </w:pPr>
          </w:p>
          <w:p w:rsidR="00CE34AD" w:rsidRDefault="00CE34AD">
            <w:pPr>
              <w:pBdr>
                <w:top w:val="nil"/>
                <w:left w:val="nil"/>
                <w:bottom w:val="nil"/>
                <w:right w:val="nil"/>
                <w:between w:val="nil"/>
              </w:pBdr>
              <w:ind w:right="51"/>
              <w:jc w:val="center"/>
              <w:rPr>
                <w:rFonts w:ascii="Arial" w:eastAsia="Arial" w:hAnsi="Arial" w:cs="Arial"/>
                <w:b/>
                <w:smallCaps/>
                <w:color w:val="000000"/>
                <w:sz w:val="20"/>
                <w:szCs w:val="20"/>
              </w:rPr>
            </w:pPr>
          </w:p>
        </w:tc>
        <w:tc>
          <w:tcPr>
            <w:tcW w:w="2268" w:type="dxa"/>
            <w:shd w:val="clear" w:color="auto" w:fill="auto"/>
          </w:tcPr>
          <w:p w:rsidR="00CE34AD" w:rsidRDefault="00CE34AD">
            <w:pPr>
              <w:jc w:val="center"/>
              <w:rPr>
                <w:rFonts w:ascii="Arial" w:eastAsia="Arial" w:hAnsi="Arial" w:cs="Arial"/>
                <w:b/>
                <w:smallCaps/>
                <w:sz w:val="20"/>
                <w:szCs w:val="20"/>
              </w:rPr>
            </w:pPr>
          </w:p>
          <w:p w:rsidR="00CE34AD" w:rsidRDefault="00B275C5">
            <w:pPr>
              <w:jc w:val="center"/>
              <w:rPr>
                <w:rFonts w:ascii="Arial" w:eastAsia="Arial" w:hAnsi="Arial" w:cs="Arial"/>
                <w:b/>
                <w:smallCaps/>
                <w:sz w:val="20"/>
                <w:szCs w:val="20"/>
              </w:rPr>
            </w:pPr>
            <w:r>
              <w:rPr>
                <w:rFonts w:ascii="Arial" w:eastAsia="Arial" w:hAnsi="Arial" w:cs="Arial"/>
                <w:b/>
                <w:smallCaps/>
                <w:sz w:val="20"/>
                <w:szCs w:val="20"/>
              </w:rPr>
              <w:t>DIP. KARLA VANESSA SALAZAR GONZÁLEZ.</w:t>
            </w:r>
          </w:p>
        </w:tc>
        <w:tc>
          <w:tcPr>
            <w:tcW w:w="2268" w:type="dxa"/>
            <w:shd w:val="clear" w:color="auto" w:fill="auto"/>
          </w:tcPr>
          <w:p w:rsidR="00CE34AD" w:rsidRDefault="00CE34AD">
            <w:pPr>
              <w:pBdr>
                <w:top w:val="nil"/>
                <w:left w:val="nil"/>
                <w:bottom w:val="nil"/>
                <w:right w:val="nil"/>
                <w:between w:val="nil"/>
              </w:pBdr>
              <w:ind w:right="51"/>
              <w:jc w:val="both"/>
              <w:rPr>
                <w:rFonts w:ascii="Arial" w:eastAsia="Arial" w:hAnsi="Arial" w:cs="Arial"/>
                <w:smallCaps/>
                <w:color w:val="000000"/>
                <w:sz w:val="20"/>
                <w:szCs w:val="20"/>
              </w:rPr>
            </w:pPr>
          </w:p>
        </w:tc>
        <w:tc>
          <w:tcPr>
            <w:tcW w:w="2268" w:type="dxa"/>
            <w:shd w:val="clear" w:color="auto" w:fill="auto"/>
          </w:tcPr>
          <w:p w:rsidR="00CE34AD" w:rsidRDefault="00CE34AD">
            <w:pPr>
              <w:pBdr>
                <w:top w:val="nil"/>
                <w:left w:val="nil"/>
                <w:bottom w:val="nil"/>
                <w:right w:val="nil"/>
                <w:between w:val="nil"/>
              </w:pBdr>
              <w:ind w:right="51"/>
              <w:jc w:val="both"/>
              <w:rPr>
                <w:rFonts w:ascii="Arial" w:eastAsia="Arial" w:hAnsi="Arial" w:cs="Arial"/>
                <w:smallCaps/>
                <w:color w:val="000000"/>
                <w:sz w:val="20"/>
                <w:szCs w:val="20"/>
              </w:rPr>
            </w:pPr>
          </w:p>
        </w:tc>
      </w:tr>
      <w:tr w:rsidR="00CE34AD">
        <w:trPr>
          <w:jc w:val="center"/>
        </w:trPr>
        <w:tc>
          <w:tcPr>
            <w:tcW w:w="2405" w:type="dxa"/>
            <w:tcBorders>
              <w:bottom w:val="single" w:sz="4" w:space="0" w:color="000000"/>
            </w:tcBorders>
            <w:shd w:val="clear" w:color="auto" w:fill="auto"/>
            <w:vAlign w:val="center"/>
          </w:tcPr>
          <w:p w:rsidR="00CE34AD" w:rsidRDefault="00CE34AD">
            <w:pPr>
              <w:pBdr>
                <w:top w:val="nil"/>
                <w:left w:val="nil"/>
                <w:bottom w:val="nil"/>
                <w:right w:val="nil"/>
                <w:between w:val="nil"/>
              </w:pBdr>
              <w:ind w:right="51"/>
              <w:jc w:val="center"/>
              <w:rPr>
                <w:rFonts w:ascii="Arial" w:eastAsia="Arial" w:hAnsi="Arial" w:cs="Arial"/>
                <w:b/>
                <w:smallCaps/>
                <w:color w:val="000000"/>
                <w:sz w:val="20"/>
                <w:szCs w:val="20"/>
              </w:rPr>
            </w:pPr>
          </w:p>
          <w:p w:rsidR="00CE34AD" w:rsidRDefault="00B275C5">
            <w:pPr>
              <w:pBdr>
                <w:top w:val="nil"/>
                <w:left w:val="nil"/>
                <w:bottom w:val="nil"/>
                <w:right w:val="nil"/>
                <w:between w:val="nil"/>
              </w:pBdr>
              <w:ind w:right="51"/>
              <w:jc w:val="center"/>
              <w:rPr>
                <w:rFonts w:ascii="Arial" w:eastAsia="Arial" w:hAnsi="Arial" w:cs="Arial"/>
                <w:b/>
                <w:smallCaps/>
                <w:color w:val="000000"/>
                <w:sz w:val="20"/>
                <w:szCs w:val="20"/>
              </w:rPr>
            </w:pPr>
            <w:r>
              <w:rPr>
                <w:rFonts w:ascii="Arial" w:eastAsia="Arial" w:hAnsi="Arial" w:cs="Arial"/>
                <w:b/>
                <w:smallCaps/>
                <w:color w:val="000000"/>
                <w:sz w:val="20"/>
                <w:szCs w:val="20"/>
              </w:rPr>
              <w:t>VOCAL</w:t>
            </w:r>
          </w:p>
          <w:p w:rsidR="00CE34AD" w:rsidRDefault="00CE34AD">
            <w:pPr>
              <w:pBdr>
                <w:top w:val="nil"/>
                <w:left w:val="nil"/>
                <w:bottom w:val="nil"/>
                <w:right w:val="nil"/>
                <w:between w:val="nil"/>
              </w:pBdr>
              <w:ind w:right="51"/>
              <w:jc w:val="center"/>
              <w:rPr>
                <w:rFonts w:ascii="Arial" w:eastAsia="Arial" w:hAnsi="Arial" w:cs="Arial"/>
                <w:b/>
                <w:smallCaps/>
                <w:color w:val="000000"/>
                <w:sz w:val="20"/>
                <w:szCs w:val="20"/>
              </w:rPr>
            </w:pPr>
          </w:p>
          <w:p w:rsidR="00CE34AD" w:rsidRDefault="00CE34AD">
            <w:pPr>
              <w:pBdr>
                <w:top w:val="nil"/>
                <w:left w:val="nil"/>
                <w:bottom w:val="nil"/>
                <w:right w:val="nil"/>
                <w:between w:val="nil"/>
              </w:pBdr>
              <w:ind w:right="51"/>
              <w:jc w:val="center"/>
              <w:rPr>
                <w:rFonts w:ascii="Arial" w:eastAsia="Arial" w:hAnsi="Arial" w:cs="Arial"/>
                <w:b/>
                <w:smallCaps/>
                <w:color w:val="000000"/>
                <w:sz w:val="20"/>
                <w:szCs w:val="20"/>
              </w:rPr>
            </w:pPr>
          </w:p>
        </w:tc>
        <w:tc>
          <w:tcPr>
            <w:tcW w:w="2268" w:type="dxa"/>
            <w:tcBorders>
              <w:bottom w:val="single" w:sz="4" w:space="0" w:color="000000"/>
            </w:tcBorders>
            <w:shd w:val="clear" w:color="auto" w:fill="auto"/>
          </w:tcPr>
          <w:p w:rsidR="00CE34AD" w:rsidRDefault="00CE34AD">
            <w:pPr>
              <w:jc w:val="center"/>
              <w:rPr>
                <w:rFonts w:ascii="Arial" w:eastAsia="Arial" w:hAnsi="Arial" w:cs="Arial"/>
                <w:b/>
                <w:smallCaps/>
                <w:sz w:val="20"/>
                <w:szCs w:val="20"/>
              </w:rPr>
            </w:pPr>
          </w:p>
          <w:p w:rsidR="00CE34AD" w:rsidRDefault="00B275C5">
            <w:pPr>
              <w:jc w:val="center"/>
              <w:rPr>
                <w:rFonts w:ascii="Arial" w:eastAsia="Arial" w:hAnsi="Arial" w:cs="Arial"/>
                <w:b/>
                <w:smallCaps/>
                <w:sz w:val="20"/>
                <w:szCs w:val="20"/>
              </w:rPr>
            </w:pPr>
            <w:r>
              <w:rPr>
                <w:rFonts w:ascii="Arial" w:eastAsia="Arial" w:hAnsi="Arial" w:cs="Arial"/>
                <w:b/>
                <w:smallCaps/>
                <w:sz w:val="20"/>
                <w:szCs w:val="20"/>
              </w:rPr>
              <w:t>DIP. JOSÉ CRESCENCIO GUTIÉRREZ GONZÁLEZ.</w:t>
            </w:r>
          </w:p>
        </w:tc>
        <w:tc>
          <w:tcPr>
            <w:tcW w:w="2268" w:type="dxa"/>
            <w:tcBorders>
              <w:bottom w:val="single" w:sz="4" w:space="0" w:color="000000"/>
            </w:tcBorders>
            <w:shd w:val="clear" w:color="auto" w:fill="auto"/>
          </w:tcPr>
          <w:p w:rsidR="00CE34AD" w:rsidRDefault="00CE34AD">
            <w:pPr>
              <w:pBdr>
                <w:top w:val="nil"/>
                <w:left w:val="nil"/>
                <w:bottom w:val="nil"/>
                <w:right w:val="nil"/>
                <w:between w:val="nil"/>
              </w:pBdr>
              <w:ind w:right="51"/>
              <w:jc w:val="both"/>
              <w:rPr>
                <w:rFonts w:ascii="Arial" w:eastAsia="Arial" w:hAnsi="Arial" w:cs="Arial"/>
                <w:smallCaps/>
                <w:color w:val="000000"/>
                <w:sz w:val="20"/>
                <w:szCs w:val="20"/>
              </w:rPr>
            </w:pPr>
          </w:p>
        </w:tc>
        <w:tc>
          <w:tcPr>
            <w:tcW w:w="2268" w:type="dxa"/>
            <w:tcBorders>
              <w:bottom w:val="single" w:sz="4" w:space="0" w:color="000000"/>
            </w:tcBorders>
            <w:shd w:val="clear" w:color="auto" w:fill="auto"/>
          </w:tcPr>
          <w:p w:rsidR="00CE34AD" w:rsidRDefault="00CE34AD">
            <w:pPr>
              <w:pBdr>
                <w:top w:val="nil"/>
                <w:left w:val="nil"/>
                <w:bottom w:val="nil"/>
                <w:right w:val="nil"/>
                <w:between w:val="nil"/>
              </w:pBdr>
              <w:ind w:right="51"/>
              <w:jc w:val="both"/>
              <w:rPr>
                <w:rFonts w:ascii="Arial" w:eastAsia="Arial" w:hAnsi="Arial" w:cs="Arial"/>
                <w:smallCaps/>
                <w:color w:val="000000"/>
                <w:sz w:val="20"/>
                <w:szCs w:val="20"/>
              </w:rPr>
            </w:pPr>
          </w:p>
        </w:tc>
      </w:tr>
      <w:tr w:rsidR="00CE34AD">
        <w:trPr>
          <w:jc w:val="center"/>
        </w:trPr>
        <w:tc>
          <w:tcPr>
            <w:tcW w:w="2405" w:type="dxa"/>
            <w:tcBorders>
              <w:bottom w:val="single" w:sz="4" w:space="0" w:color="000000"/>
            </w:tcBorders>
            <w:shd w:val="clear" w:color="auto" w:fill="auto"/>
            <w:vAlign w:val="center"/>
          </w:tcPr>
          <w:p w:rsidR="00CE34AD" w:rsidRDefault="00CE34AD">
            <w:pPr>
              <w:pBdr>
                <w:top w:val="nil"/>
                <w:left w:val="nil"/>
                <w:bottom w:val="nil"/>
                <w:right w:val="nil"/>
                <w:between w:val="nil"/>
              </w:pBdr>
              <w:ind w:right="51"/>
              <w:jc w:val="center"/>
              <w:rPr>
                <w:rFonts w:ascii="Arial" w:eastAsia="Arial" w:hAnsi="Arial" w:cs="Arial"/>
                <w:b/>
                <w:smallCaps/>
                <w:color w:val="000000"/>
                <w:sz w:val="20"/>
                <w:szCs w:val="20"/>
              </w:rPr>
            </w:pPr>
          </w:p>
          <w:p w:rsidR="00CE34AD" w:rsidRDefault="00B275C5">
            <w:pPr>
              <w:pBdr>
                <w:top w:val="nil"/>
                <w:left w:val="nil"/>
                <w:bottom w:val="nil"/>
                <w:right w:val="nil"/>
                <w:between w:val="nil"/>
              </w:pBdr>
              <w:ind w:right="51"/>
              <w:jc w:val="center"/>
              <w:rPr>
                <w:rFonts w:ascii="Arial" w:eastAsia="Arial" w:hAnsi="Arial" w:cs="Arial"/>
                <w:b/>
                <w:smallCaps/>
                <w:color w:val="000000"/>
                <w:sz w:val="20"/>
                <w:szCs w:val="20"/>
              </w:rPr>
            </w:pPr>
            <w:r>
              <w:rPr>
                <w:rFonts w:ascii="Arial" w:eastAsia="Arial" w:hAnsi="Arial" w:cs="Arial"/>
                <w:b/>
                <w:smallCaps/>
                <w:color w:val="000000"/>
                <w:sz w:val="20"/>
                <w:szCs w:val="20"/>
              </w:rPr>
              <w:t>VOCAL</w:t>
            </w:r>
          </w:p>
          <w:p w:rsidR="00CE34AD" w:rsidRDefault="00CE34AD">
            <w:pPr>
              <w:pBdr>
                <w:top w:val="nil"/>
                <w:left w:val="nil"/>
                <w:bottom w:val="nil"/>
                <w:right w:val="nil"/>
                <w:between w:val="nil"/>
              </w:pBdr>
              <w:ind w:right="51"/>
              <w:jc w:val="center"/>
              <w:rPr>
                <w:rFonts w:ascii="Arial" w:eastAsia="Arial" w:hAnsi="Arial" w:cs="Arial"/>
                <w:b/>
                <w:smallCaps/>
                <w:color w:val="000000"/>
                <w:sz w:val="20"/>
                <w:szCs w:val="20"/>
              </w:rPr>
            </w:pPr>
          </w:p>
        </w:tc>
        <w:tc>
          <w:tcPr>
            <w:tcW w:w="2268" w:type="dxa"/>
            <w:tcBorders>
              <w:bottom w:val="single" w:sz="4" w:space="0" w:color="000000"/>
            </w:tcBorders>
            <w:shd w:val="clear" w:color="auto" w:fill="auto"/>
          </w:tcPr>
          <w:p w:rsidR="00CE34AD" w:rsidRDefault="00CE34AD">
            <w:pPr>
              <w:jc w:val="center"/>
              <w:rPr>
                <w:rFonts w:ascii="Arial" w:eastAsia="Arial" w:hAnsi="Arial" w:cs="Arial"/>
                <w:b/>
                <w:smallCaps/>
                <w:sz w:val="20"/>
                <w:szCs w:val="20"/>
              </w:rPr>
            </w:pPr>
          </w:p>
          <w:p w:rsidR="00CE34AD" w:rsidRDefault="00B275C5">
            <w:pPr>
              <w:jc w:val="center"/>
              <w:rPr>
                <w:rFonts w:ascii="Arial" w:eastAsia="Arial" w:hAnsi="Arial" w:cs="Arial"/>
                <w:b/>
                <w:smallCaps/>
                <w:sz w:val="20"/>
                <w:szCs w:val="20"/>
              </w:rPr>
            </w:pPr>
            <w:r>
              <w:rPr>
                <w:rFonts w:ascii="Arial" w:eastAsia="Arial" w:hAnsi="Arial" w:cs="Arial"/>
                <w:b/>
                <w:smallCaps/>
                <w:sz w:val="20"/>
                <w:szCs w:val="20"/>
              </w:rPr>
              <w:t>DIP. VIDA ARAVARI GÓMEZ HERRERA.</w:t>
            </w:r>
          </w:p>
          <w:p w:rsidR="00CE34AD" w:rsidRDefault="00CE34AD">
            <w:pPr>
              <w:jc w:val="center"/>
              <w:rPr>
                <w:rFonts w:ascii="Arial" w:eastAsia="Arial" w:hAnsi="Arial" w:cs="Arial"/>
                <w:b/>
                <w:smallCaps/>
                <w:sz w:val="20"/>
                <w:szCs w:val="20"/>
              </w:rPr>
            </w:pPr>
          </w:p>
        </w:tc>
        <w:tc>
          <w:tcPr>
            <w:tcW w:w="2268" w:type="dxa"/>
            <w:tcBorders>
              <w:bottom w:val="single" w:sz="4" w:space="0" w:color="000000"/>
            </w:tcBorders>
            <w:shd w:val="clear" w:color="auto" w:fill="auto"/>
          </w:tcPr>
          <w:p w:rsidR="00CE34AD" w:rsidRDefault="00CE34AD">
            <w:pPr>
              <w:pBdr>
                <w:top w:val="nil"/>
                <w:left w:val="nil"/>
                <w:bottom w:val="nil"/>
                <w:right w:val="nil"/>
                <w:between w:val="nil"/>
              </w:pBdr>
              <w:ind w:right="51"/>
              <w:jc w:val="both"/>
              <w:rPr>
                <w:rFonts w:ascii="Arial" w:eastAsia="Arial" w:hAnsi="Arial" w:cs="Arial"/>
                <w:smallCaps/>
                <w:color w:val="000000"/>
                <w:sz w:val="20"/>
                <w:szCs w:val="20"/>
              </w:rPr>
            </w:pPr>
          </w:p>
        </w:tc>
        <w:tc>
          <w:tcPr>
            <w:tcW w:w="2268" w:type="dxa"/>
            <w:tcBorders>
              <w:bottom w:val="single" w:sz="4" w:space="0" w:color="000000"/>
            </w:tcBorders>
            <w:shd w:val="clear" w:color="auto" w:fill="auto"/>
          </w:tcPr>
          <w:p w:rsidR="00CE34AD" w:rsidRDefault="00CE34AD">
            <w:pPr>
              <w:pBdr>
                <w:top w:val="nil"/>
                <w:left w:val="nil"/>
                <w:bottom w:val="nil"/>
                <w:right w:val="nil"/>
                <w:between w:val="nil"/>
              </w:pBdr>
              <w:ind w:right="51"/>
              <w:jc w:val="center"/>
              <w:rPr>
                <w:rFonts w:ascii="Arial" w:eastAsia="Arial" w:hAnsi="Arial" w:cs="Arial"/>
                <w:smallCaps/>
                <w:color w:val="000000"/>
                <w:sz w:val="20"/>
                <w:szCs w:val="20"/>
              </w:rPr>
            </w:pPr>
          </w:p>
        </w:tc>
      </w:tr>
      <w:tr w:rsidR="00CE34AD">
        <w:trPr>
          <w:jc w:val="center"/>
        </w:trPr>
        <w:tc>
          <w:tcPr>
            <w:tcW w:w="9209" w:type="dxa"/>
            <w:gridSpan w:val="4"/>
            <w:tcBorders>
              <w:top w:val="single" w:sz="4" w:space="0" w:color="000000"/>
              <w:left w:val="nil"/>
              <w:bottom w:val="nil"/>
              <w:right w:val="nil"/>
            </w:tcBorders>
            <w:shd w:val="clear" w:color="auto" w:fill="auto"/>
            <w:vAlign w:val="center"/>
          </w:tcPr>
          <w:p w:rsidR="00CE34AD" w:rsidRDefault="00B275C5">
            <w:pPr>
              <w:pBdr>
                <w:top w:val="nil"/>
                <w:left w:val="nil"/>
                <w:bottom w:val="nil"/>
                <w:right w:val="nil"/>
                <w:between w:val="nil"/>
              </w:pBdr>
              <w:ind w:right="51"/>
              <w:jc w:val="both"/>
              <w:rPr>
                <w:rFonts w:ascii="Arial" w:eastAsia="Arial" w:hAnsi="Arial" w:cs="Arial"/>
                <w:smallCaps/>
                <w:color w:val="000000"/>
                <w:sz w:val="20"/>
                <w:szCs w:val="20"/>
              </w:rPr>
            </w:pPr>
            <w:r>
              <w:rPr>
                <w:rFonts w:ascii="Arial" w:eastAsia="Arial" w:hAnsi="Arial" w:cs="Arial"/>
                <w:color w:val="000000"/>
                <w:sz w:val="20"/>
                <w:szCs w:val="20"/>
              </w:rPr>
              <w:t xml:space="preserve">Esta hoja de firmas pertenece al Dictamen de Acuerdo por el que se da cumplimiento a la sentencia del expediente PES-016/2021 del Tribunal Electoral del Estado de Yucatán. </w:t>
            </w:r>
          </w:p>
        </w:tc>
      </w:tr>
    </w:tbl>
    <w:p w:rsidR="00CE34AD" w:rsidRDefault="00CE34AD">
      <w:pPr>
        <w:pBdr>
          <w:top w:val="nil"/>
          <w:left w:val="nil"/>
          <w:bottom w:val="nil"/>
          <w:right w:val="nil"/>
          <w:between w:val="nil"/>
        </w:pBdr>
        <w:spacing w:line="360" w:lineRule="auto"/>
        <w:ind w:firstLine="600"/>
        <w:jc w:val="both"/>
        <w:rPr>
          <w:rFonts w:ascii="Arial" w:eastAsia="Arial" w:hAnsi="Arial" w:cs="Arial"/>
          <w:color w:val="000000"/>
          <w:sz w:val="22"/>
          <w:szCs w:val="22"/>
        </w:rPr>
      </w:pPr>
    </w:p>
    <w:sectPr w:rsidR="00CE34AD">
      <w:headerReference w:type="default" r:id="rId9"/>
      <w:footerReference w:type="default" r:id="rId10"/>
      <w:pgSz w:w="12242" w:h="15842"/>
      <w:pgMar w:top="2694" w:right="1701" w:bottom="1417" w:left="1701" w:header="709" w:footer="68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275C5">
      <w:r>
        <w:separator/>
      </w:r>
    </w:p>
  </w:endnote>
  <w:endnote w:type="continuationSeparator" w:id="0">
    <w:p w:rsidR="00000000" w:rsidRDefault="00B2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Bad Script">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4AD" w:rsidRDefault="00B275C5">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10</w:t>
    </w:r>
    <w:r>
      <w:rPr>
        <w:rFonts w:ascii="Arial" w:eastAsia="Arial" w:hAnsi="Arial" w:cs="Arial"/>
        <w:color w:val="000000"/>
        <w:sz w:val="20"/>
        <w:szCs w:val="20"/>
      </w:rPr>
      <w:fldChar w:fldCharType="end"/>
    </w:r>
  </w:p>
  <w:p w:rsidR="00CE34AD" w:rsidRDefault="00CE34AD">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275C5">
      <w:r>
        <w:separator/>
      </w:r>
    </w:p>
  </w:footnote>
  <w:footnote w:type="continuationSeparator" w:id="0">
    <w:p w:rsidR="00000000" w:rsidRDefault="00B275C5">
      <w:r>
        <w:continuationSeparator/>
      </w:r>
    </w:p>
  </w:footnote>
  <w:footnote w:id="1">
    <w:p w:rsidR="00CE34AD" w:rsidRDefault="00B275C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i/>
          <w:color w:val="000000"/>
          <w:sz w:val="20"/>
          <w:szCs w:val="20"/>
        </w:rPr>
        <w:t>https://www.te.gob.mx/IUSEapp/tesisjur.aspx?idtesis=XX/2016&amp;tpoBusqueda=S&amp;sWord=TESIS,XX/2016</w:t>
      </w:r>
    </w:p>
  </w:footnote>
  <w:footnote w:id="2">
    <w:p w:rsidR="00CE34AD" w:rsidRDefault="00B275C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20"/>
          <w:szCs w:val="20"/>
        </w:rPr>
        <w:t>SUP-JRC-13/2018.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4AD" w:rsidRDefault="00B275C5">
    <w:pPr>
      <w:jc w:val="center"/>
    </w:pPr>
    <w:r>
      <w:t>GOBIERNO DEL ESTADO DE YUCATÁN</w:t>
    </w:r>
    <w:r>
      <w:rPr>
        <w:noProof/>
      </w:rPr>
      <mc:AlternateContent>
        <mc:Choice Requires="wps">
          <w:drawing>
            <wp:anchor distT="0" distB="0" distL="114300" distR="114300" simplePos="0" relativeHeight="251658240" behindDoc="0" locked="0" layoutInCell="1" hidden="0" allowOverlap="1">
              <wp:simplePos x="0" y="0"/>
              <wp:positionH relativeFrom="column">
                <wp:posOffset>-447674</wp:posOffset>
              </wp:positionH>
              <wp:positionV relativeFrom="paragraph">
                <wp:posOffset>-234314</wp:posOffset>
              </wp:positionV>
              <wp:extent cx="1563370" cy="1442720"/>
              <wp:effectExtent l="0" t="0" r="0" b="0"/>
              <wp:wrapNone/>
              <wp:docPr id="1" nam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3370" cy="1442720"/>
                        <a:chOff x="516" y="126"/>
                        <a:chExt cx="2350" cy="2272"/>
                      </a:xfrm>
                    </wpg:grpSpPr>
                    <wps:wsp>
                      <wps:cNvPr id="2" name="Cuadro de texto 2"/>
                      <wps:cNvSpPr txBox="1">
                        <a:spLocks/>
                      </wps:cNvSpPr>
                      <wps:spPr bwMode="auto">
                        <a:xfrm>
                          <a:off x="516" y="1802"/>
                          <a:ext cx="2350" cy="596"/>
                        </a:xfrm>
                        <a:prstGeom prst="rect">
                          <a:avLst/>
                        </a:prstGeom>
                        <a:solidFill>
                          <a:srgbClr val="FFFFFF"/>
                        </a:solidFill>
                        <a:ln>
                          <a:noFill/>
                        </a:ln>
                      </wps:spPr>
                      <wps:txbx>
                        <w:txbxContent>
                          <w:p w:rsidR="00F37116" w:rsidRPr="00102E0C" w:rsidRDefault="00B275C5" w:rsidP="00FA72C3">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w:t>
                            </w:r>
                            <w:r>
                              <w:rPr>
                                <w:rFonts w:ascii="Helvetica" w:hAnsi="Helvetica"/>
                                <w:b/>
                                <w:sz w:val="13"/>
                                <w:szCs w:val="13"/>
                              </w:rPr>
                              <w:t>II</w:t>
                            </w:r>
                            <w:r w:rsidRPr="00102E0C">
                              <w:rPr>
                                <w:rFonts w:ascii="Helvetica" w:hAnsi="Helvetica"/>
                                <w:b/>
                                <w:sz w:val="13"/>
                                <w:szCs w:val="13"/>
                              </w:rPr>
                              <w:t xml:space="preserve"> LEGISLATURA DEL ESTADO</w:t>
                            </w:r>
                          </w:p>
                          <w:p w:rsidR="00F37116" w:rsidRPr="00102E0C" w:rsidRDefault="00B275C5" w:rsidP="00FA72C3">
                            <w:pPr>
                              <w:jc w:val="center"/>
                              <w:rPr>
                                <w:rFonts w:ascii="Helvetica" w:hAnsi="Helvetica"/>
                                <w:b/>
                                <w:sz w:val="13"/>
                                <w:szCs w:val="13"/>
                              </w:rPr>
                            </w:pPr>
                            <w:r w:rsidRPr="00102E0C">
                              <w:rPr>
                                <w:rFonts w:ascii="Helvetica" w:hAnsi="Helvetica"/>
                                <w:b/>
                                <w:sz w:val="13"/>
                                <w:szCs w:val="13"/>
                              </w:rPr>
                              <w:t>LIBRE Y SOBERANO DE</w:t>
                            </w:r>
                          </w:p>
                          <w:p w:rsidR="00F37116" w:rsidRPr="00102E0C" w:rsidRDefault="00B275C5" w:rsidP="00FA72C3">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pic:cNvPicPr>
                      </pic:nvPicPr>
                      <pic:blipFill>
                        <a:blip r:embed="rId1"/>
                        <a:srcRect/>
                        <a:stretch>
                          <a:fillRect/>
                        </a:stretch>
                      </pic:blipFill>
                      <pic:spPr bwMode="auto">
                        <a:xfrm>
                          <a:off x="690" y="126"/>
                          <a:ext cx="1985" cy="1985"/>
                        </a:xfrm>
                        <a:prstGeom prst="rect">
                          <a:avLst/>
                        </a:prstGeom>
                        <a:noFill/>
                        <a:ln>
                          <a:noFill/>
                        </a:ln>
                      </pic:spPr>
                    </pic:pic>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-447674</wp:posOffset>
              </wp:positionH>
              <wp:positionV relativeFrom="paragraph">
                <wp:posOffset>-234314</wp:posOffset>
              </wp:positionV>
              <wp:extent cx="1563370" cy="1442720"/>
              <wp:effectExtent b="0" l="0" r="0" t="0"/>
              <wp:wrapNone/>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563370" cy="1442720"/>
                      </a:xfrm>
                      <a:prstGeom prst="rect"/>
                      <a:ln/>
                    </pic:spPr>
                  </pic:pic>
                </a:graphicData>
              </a:graphic>
            </wp:anchor>
          </w:drawing>
        </mc:Fallback>
      </mc:AlternateContent>
    </w:r>
  </w:p>
  <w:p w:rsidR="00CE34AD" w:rsidRDefault="00B275C5">
    <w:pPr>
      <w:jc w:val="center"/>
    </w:pPr>
    <w:r>
      <w:t>PODER LEGISLATIVO</w:t>
    </w:r>
  </w:p>
  <w:p w:rsidR="00CE34AD" w:rsidRDefault="00CE34AD">
    <w:pPr>
      <w:rPr>
        <w:rFonts w:ascii="Bad Script" w:eastAsia="Bad Script" w:hAnsi="Bad Script" w:cs="Bad Script"/>
        <w:sz w:val="32"/>
        <w:szCs w:val="32"/>
      </w:rPr>
    </w:pPr>
  </w:p>
  <w:p w:rsidR="00CE34AD" w:rsidRDefault="00CE34AD"/>
  <w:p w:rsidR="00CE34AD" w:rsidRDefault="00CE34AD">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54083"/>
    <w:multiLevelType w:val="multilevel"/>
    <w:tmpl w:val="4300B150"/>
    <w:lvl w:ilvl="0">
      <w:start w:val="1"/>
      <w:numFmt w:val="upperRoman"/>
      <w:lvlText w:val="%1."/>
      <w:lvlJc w:val="left"/>
      <w:pPr>
        <w:ind w:left="1428" w:hanging="719"/>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8FE0D47"/>
    <w:multiLevelType w:val="multilevel"/>
    <w:tmpl w:val="41C23832"/>
    <w:lvl w:ilvl="0">
      <w:start w:val="1"/>
      <w:numFmt w:val="lowerRoman"/>
      <w:lvlText w:val="%1."/>
      <w:lvlJc w:val="righ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0C10A4"/>
    <w:multiLevelType w:val="multilevel"/>
    <w:tmpl w:val="16D09754"/>
    <w:lvl w:ilvl="0">
      <w:start w:val="5"/>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6173A3"/>
    <w:multiLevelType w:val="multilevel"/>
    <w:tmpl w:val="0960E51E"/>
    <w:lvl w:ilvl="0">
      <w:start w:val="4"/>
      <w:numFmt w:val="lowerRoman"/>
      <w:lvlText w:val="%1."/>
      <w:lvlJc w:val="righ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FEE5DAF"/>
    <w:multiLevelType w:val="multilevel"/>
    <w:tmpl w:val="79A052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CB84467"/>
    <w:multiLevelType w:val="multilevel"/>
    <w:tmpl w:val="AFE0C32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BF85B27"/>
    <w:multiLevelType w:val="multilevel"/>
    <w:tmpl w:val="7FB6D8A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AA14C28"/>
    <w:multiLevelType w:val="multilevel"/>
    <w:tmpl w:val="D03C2E1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2"/>
  </w:num>
  <w:num w:numId="3">
    <w:abstractNumId w:val="6"/>
  </w:num>
  <w:num w:numId="4">
    <w:abstractNumId w:val="7"/>
  </w:num>
  <w:num w:numId="5">
    <w:abstractNumId w:val="4"/>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4AD"/>
    <w:rsid w:val="00B275C5"/>
    <w:rsid w:val="00CE34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9212E7-F6C9-453A-B772-CEEDB980F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poderjudicialyucatan.gob.mx/digestum/marcoLegal/02/2012/DIGESTUM02057.pdf" TargetMode="External"/><Relationship Id="rId3" Type="http://schemas.openxmlformats.org/officeDocument/2006/relationships/settings" Target="settings.xml"/><Relationship Id="rId7" Type="http://schemas.openxmlformats.org/officeDocument/2006/relationships/hyperlink" Target="http://portal.te.gob.mx/colecciones/sentencias/html/SUP/2015/REP/SUP-REP-00102-2015.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4773</Words>
  <Characters>26255</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Lesly Pantoja</dc:creator>
  <cp:lastModifiedBy>Lesly Pantoja</cp:lastModifiedBy>
  <cp:revision>2</cp:revision>
  <dcterms:created xsi:type="dcterms:W3CDTF">2022-02-11T17:04:00Z</dcterms:created>
  <dcterms:modified xsi:type="dcterms:W3CDTF">2022-02-11T17:04:00Z</dcterms:modified>
</cp:coreProperties>
</file>